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285E" w14:textId="77777777"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14:paraId="64B27A15" w14:textId="6896D35B" w:rsidR="00C50CA0" w:rsidRPr="007A5274" w:rsidRDefault="00CC46C4" w:rsidP="00C50CA0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A1240" w:rsidRPr="00291229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0A1240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369D7" w:rsidRPr="000369D7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ვალის ნაშთი</w:t>
      </w:r>
      <w:r w:rsid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0369D7" w:rsidRP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საჯარო და კერძო თანამშრომლობის კრიტერიუმების შესაბამისი პროექტების ფარგლებში აღებული </w:t>
      </w:r>
      <w:r w:rsidR="000369D7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ვალდებულებების მიმდინარე ღირებულების ჯამი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F2417" w:rsidRPr="00E60B55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990DDB">
        <w:rPr>
          <w:rFonts w:ascii="Sylfaen" w:hAnsi="Sylfaen" w:cs="Sylfaen"/>
          <w:szCs w:val="21"/>
          <w:shd w:val="clear" w:color="auto" w:fill="FFFFFF"/>
        </w:rPr>
        <w:t>2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4576F3" w:rsidRPr="00E60B55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EB0EE9" w:rsidRPr="00E60B5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90DDB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</w:t>
      </w:r>
      <w:r w:rsidR="009B63F3" w:rsidRPr="007A5274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შეადგენს </w:t>
      </w:r>
      <w:r w:rsidR="00111D9D" w:rsidRPr="007A5274">
        <w:rPr>
          <w:rFonts w:ascii="Sylfaen" w:hAnsi="Sylfaen" w:cs="Sylfaen"/>
          <w:szCs w:val="21"/>
          <w:shd w:val="clear" w:color="auto" w:fill="FFFFFF"/>
          <w:lang w:val="ka-GE"/>
        </w:rPr>
        <w:t>28 524.6</w:t>
      </w:r>
      <w:r w:rsidR="000369D7" w:rsidRPr="007A527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7A5274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3800EA" w:rsidRPr="007A5274">
        <w:rPr>
          <w:rFonts w:ascii="Sylfaen" w:hAnsi="Sylfaen" w:cs="Sylfaen"/>
          <w:szCs w:val="21"/>
          <w:shd w:val="clear" w:color="auto" w:fill="FFFFFF"/>
          <w:lang w:val="ka-GE"/>
        </w:rPr>
        <w:t>.</w:t>
      </w:r>
    </w:p>
    <w:p w14:paraId="2E0272F6" w14:textId="17A10E10" w:rsidR="009B63F3" w:rsidRDefault="003800EA" w:rsidP="00C50CA0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7A5274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="006F4202" w:rsidRPr="007A5274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7A5274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Pr="007A5274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396821" w:rsidRPr="007A5274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990DDB" w:rsidRPr="007A5274">
        <w:rPr>
          <w:rFonts w:ascii="Sylfaen" w:hAnsi="Sylfaen"/>
          <w:szCs w:val="21"/>
          <w:shd w:val="clear" w:color="auto" w:fill="FFFFFF"/>
          <w:lang w:val="ka-GE"/>
        </w:rPr>
        <w:t>28 085.2</w:t>
      </w:r>
      <w:r w:rsidR="004576F3" w:rsidRPr="007A527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7A5274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0E1BBD" w:rsidRPr="007A5274">
        <w:rPr>
          <w:rFonts w:ascii="Sylfaen" w:hAnsi="Sylfaen"/>
          <w:szCs w:val="21"/>
          <w:shd w:val="clear" w:color="auto" w:fill="FFFFFF"/>
          <w:lang w:val="ka-GE"/>
        </w:rPr>
        <w:t>,</w:t>
      </w:r>
      <w:r w:rsidR="00396821" w:rsidRPr="007A5274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7A527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7A5274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</w:t>
      </w:r>
      <w:r w:rsidR="00C50CA0" w:rsidRPr="007A5274">
        <w:rPr>
          <w:rFonts w:ascii="Sylfaen" w:hAnsi="Sylfaen"/>
          <w:szCs w:val="21"/>
          <w:shd w:val="clear" w:color="auto" w:fill="FFFFFF"/>
          <w:lang w:val="ka-GE"/>
        </w:rPr>
        <w:t>ებ</w:t>
      </w:r>
      <w:r w:rsidR="0087661E" w:rsidRPr="007A5274">
        <w:rPr>
          <w:rFonts w:ascii="Sylfaen" w:hAnsi="Sylfaen"/>
          <w:szCs w:val="21"/>
          <w:shd w:val="clear" w:color="auto" w:fill="FFFFFF"/>
          <w:lang w:val="ka-GE"/>
        </w:rPr>
        <w:t xml:space="preserve">ის  </w:t>
      </w:r>
      <w:r w:rsidR="00914D8C" w:rsidRPr="007A5274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7A5274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7A5274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7A527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21440" w:rsidRPr="007A5274">
        <w:rPr>
          <w:rFonts w:ascii="Sylfaen" w:hAnsi="Sylfaen"/>
          <w:szCs w:val="21"/>
          <w:shd w:val="clear" w:color="auto" w:fill="FFFFFF"/>
          <w:lang w:val="ka-GE"/>
        </w:rPr>
        <w:t>-</w:t>
      </w:r>
      <w:r w:rsidR="00990DDB" w:rsidRPr="007A5274">
        <w:rPr>
          <w:rFonts w:ascii="Sylfaen" w:hAnsi="Sylfaen"/>
          <w:szCs w:val="21"/>
          <w:shd w:val="clear" w:color="auto" w:fill="FFFFFF"/>
          <w:lang w:val="ka-GE"/>
        </w:rPr>
        <w:t xml:space="preserve"> 44.0</w:t>
      </w:r>
      <w:r w:rsidR="00914D8C" w:rsidRPr="007A5274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0369D7" w:rsidRPr="007A5274">
        <w:rPr>
          <w:rFonts w:ascii="Sylfaen" w:hAnsi="Sylfaen"/>
          <w:szCs w:val="21"/>
          <w:shd w:val="clear" w:color="auto" w:fill="FFFFFF"/>
          <w:lang w:val="ka-GE"/>
        </w:rPr>
        <w:t xml:space="preserve">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="00D63FD8" w:rsidRPr="007A5274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0369D7" w:rsidRPr="007A5274">
        <w:rPr>
          <w:rFonts w:ascii="Sylfaen" w:hAnsi="Sylfaen"/>
          <w:szCs w:val="21"/>
          <w:shd w:val="clear" w:color="auto" w:fill="FFFFFF"/>
          <w:lang w:val="ka-GE"/>
        </w:rPr>
        <w:t>395.4</w:t>
      </w:r>
      <w:r w:rsidR="000369D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</w:p>
    <w:p w14:paraId="2F012075" w14:textId="77777777" w:rsidR="00C50CA0" w:rsidRPr="001E1573" w:rsidRDefault="00C50CA0" w:rsidP="00C50CA0">
      <w:pPr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59470138" w14:textId="77777777" w:rsidR="000369D7" w:rsidRPr="000369D7" w:rsidRDefault="000369D7" w:rsidP="00D62E87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0369D7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14069D95" w14:textId="032B52B4" w:rsidR="006F4202" w:rsidRPr="00B73E97" w:rsidRDefault="00D63FD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>202</w:t>
      </w:r>
      <w:r w:rsidR="00111D9D">
        <w:rPr>
          <w:rFonts w:ascii="Sylfaen" w:hAnsi="Sylfaen"/>
          <w:szCs w:val="21"/>
          <w:shd w:val="clear" w:color="auto" w:fill="FFFFFF"/>
          <w:lang w:val="ka-GE"/>
        </w:rPr>
        <w:t>2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 წლის </w:t>
      </w:r>
      <w:r w:rsidR="004576F3">
        <w:rPr>
          <w:rFonts w:ascii="Sylfaen" w:hAnsi="Sylfaen"/>
          <w:szCs w:val="21"/>
          <w:shd w:val="clear" w:color="auto" w:fill="FFFFFF"/>
        </w:rPr>
        <w:t>30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 w:rsidR="00111D9D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საგარეო ვალის ნაშთი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 შეადგენს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111D9D">
        <w:rPr>
          <w:rFonts w:ascii="Sylfaen" w:hAnsi="Sylfaen"/>
          <w:szCs w:val="21"/>
          <w:shd w:val="clear" w:color="auto" w:fill="FFFFFF"/>
          <w:lang w:val="ka-GE"/>
        </w:rPr>
        <w:t>21 876.8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რომელიც 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C2FBC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3C2FB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279">
        <w:rPr>
          <w:rFonts w:ascii="Sylfaen" w:hAnsi="Sylfaen"/>
          <w:szCs w:val="21"/>
          <w:shd w:val="clear" w:color="auto" w:fill="FFFFFF"/>
        </w:rPr>
        <w:t>7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8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96279">
        <w:rPr>
          <w:rFonts w:ascii="Sylfaen" w:hAnsi="Sylfaen"/>
          <w:szCs w:val="21"/>
          <w:shd w:val="clear" w:color="auto" w:fill="FFFFFF"/>
        </w:rPr>
        <w:t>5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396279">
        <w:rPr>
          <w:rFonts w:ascii="Sylfaen" w:hAnsi="Sylfaen"/>
          <w:szCs w:val="21"/>
          <w:shd w:val="clear" w:color="auto" w:fill="FFFFFF"/>
        </w:rPr>
        <w:t>8.1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396279">
        <w:rPr>
          <w:rFonts w:ascii="Sylfaen" w:hAnsi="Sylfaen" w:cs="Sylfaen"/>
          <w:szCs w:val="21"/>
          <w:shd w:val="clear" w:color="auto" w:fill="FFFFFF"/>
        </w:rPr>
        <w:t>1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279">
        <w:rPr>
          <w:rFonts w:ascii="Sylfaen" w:hAnsi="Sylfaen" w:cs="Sylfaen"/>
          <w:szCs w:val="21"/>
          <w:shd w:val="clear" w:color="auto" w:fill="FFFFFF"/>
        </w:rPr>
        <w:t>21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5CD8279B" w14:textId="1413315E" w:rsidR="006F4202" w:rsidRPr="00421440" w:rsidRDefault="00322857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6FD28054" wp14:editId="01E3FB08">
            <wp:simplePos x="0" y="0"/>
            <wp:positionH relativeFrom="column">
              <wp:posOffset>485775</wp:posOffset>
            </wp:positionH>
            <wp:positionV relativeFrom="paragraph">
              <wp:posOffset>283210</wp:posOffset>
            </wp:positionV>
            <wp:extent cx="3314700" cy="14478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821"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4AFBF0" wp14:editId="41B008B8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8D35BF" w14:textId="77777777" w:rsidR="009D198C" w:rsidRPr="00A33B48" w:rsidRDefault="009D198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4E539536" w14:textId="0D079024" w:rsidR="009D198C" w:rsidRPr="001E1573" w:rsidRDefault="009D198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21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779014A0" w14:textId="610BFB2E" w:rsidR="009D198C" w:rsidRPr="00A33B48" w:rsidRDefault="009D198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5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6D74406C" w14:textId="2EE2CFC7" w:rsidR="009D198C" w:rsidRPr="00DE4001" w:rsidRDefault="009D198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24AFBF0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28D35BF" w14:textId="77777777" w:rsidR="009D198C" w:rsidRPr="00A33B48" w:rsidRDefault="009D198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4E539536" w14:textId="0D079024" w:rsidR="009D198C" w:rsidRPr="001E1573" w:rsidRDefault="009D198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21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779014A0" w14:textId="610BFB2E" w:rsidR="009D198C" w:rsidRPr="00A33B48" w:rsidRDefault="009D198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5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14:paraId="6D74406C" w14:textId="2EE2CFC7" w:rsidR="009D198C" w:rsidRPr="00DE4001" w:rsidRDefault="009D198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20</w:t>
      </w:r>
      <w:r w:rsidR="000A7B97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</w:t>
      </w:r>
      <w:r w:rsidR="00396279">
        <w:rPr>
          <w:rFonts w:ascii="Sylfaen" w:hAnsi="Sylfaen" w:cs="Sylfaen"/>
          <w:b/>
          <w:szCs w:val="18"/>
          <w:shd w:val="clear" w:color="auto" w:fill="FFFFFF"/>
        </w:rPr>
        <w:t>2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4576F3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396279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6B745446" w14:textId="77777777" w:rsidR="00322857" w:rsidRDefault="00322857" w:rsidP="00322857">
      <w:pPr>
        <w:spacing w:line="240" w:lineRule="auto"/>
        <w:ind w:firstLine="720"/>
        <w:jc w:val="both"/>
        <w:rPr>
          <w:rFonts w:ascii="Sylfaen" w:hAnsi="Sylfaen"/>
          <w:lang w:val="ka-GE"/>
        </w:rPr>
      </w:pPr>
    </w:p>
    <w:p w14:paraId="68D20201" w14:textId="5AEC969A" w:rsidR="006F4202" w:rsidRPr="00B73E97" w:rsidRDefault="004576F3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>202</w:t>
      </w:r>
      <w:r w:rsidR="00396279">
        <w:rPr>
          <w:rFonts w:ascii="Sylfaen" w:hAnsi="Sylfaen"/>
          <w:szCs w:val="21"/>
          <w:shd w:val="clear" w:color="auto" w:fill="FFFFFF"/>
          <w:lang w:val="ka-GE"/>
        </w:rPr>
        <w:t>2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 წლის </w:t>
      </w:r>
      <w:r>
        <w:rPr>
          <w:rFonts w:ascii="Sylfaen" w:hAnsi="Sylfaen"/>
          <w:szCs w:val="21"/>
          <w:shd w:val="clear" w:color="auto" w:fill="FFFFFF"/>
        </w:rPr>
        <w:t>30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 w:rsidR="00396279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A552F9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 w:rsidR="00396279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396279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14:paraId="5BA3D4E0" w14:textId="048C51B9" w:rsidR="00A93CD1" w:rsidRPr="00B73E97" w:rsidRDefault="00F4615E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427525" wp14:editId="0ABD2610">
            <wp:simplePos x="0" y="0"/>
            <wp:positionH relativeFrom="column">
              <wp:posOffset>3943350</wp:posOffset>
            </wp:positionH>
            <wp:positionV relativeFrom="paragraph">
              <wp:posOffset>10160</wp:posOffset>
            </wp:positionV>
            <wp:extent cx="1924050" cy="1400175"/>
            <wp:effectExtent l="0" t="0" r="0" b="0"/>
            <wp:wrapTight wrapText="bothSides">
              <wp:wrapPolygon edited="0">
                <wp:start x="0" y="0"/>
                <wp:lineTo x="0" y="21159"/>
                <wp:lineTo x="21386" y="21159"/>
                <wp:lineTo x="21386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CA0">
        <w:rPr>
          <w:noProof/>
        </w:rPr>
        <w:drawing>
          <wp:anchor distT="0" distB="0" distL="114300" distR="114300" simplePos="0" relativeHeight="251665408" behindDoc="1" locked="0" layoutInCell="1" allowOverlap="1" wp14:anchorId="194B4F4A" wp14:editId="6EE7BF8A">
            <wp:simplePos x="0" y="0"/>
            <wp:positionH relativeFrom="column">
              <wp:posOffset>693420</wp:posOffset>
            </wp:positionH>
            <wp:positionV relativeFrom="paragraph">
              <wp:posOffset>6350</wp:posOffset>
            </wp:positionV>
            <wp:extent cx="2228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5" y="21308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B73E97">
        <w:rPr>
          <w:rFonts w:ascii="Sylfaen" w:hAnsi="Sylfaen"/>
          <w:lang w:val="ka-GE"/>
        </w:rPr>
        <w:t xml:space="preserve">  </w:t>
      </w:r>
    </w:p>
    <w:p w14:paraId="372A8086" w14:textId="77777777"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749164C6" w14:textId="77777777"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14:paraId="08D406CE" w14:textId="44CD68BC" w:rsidR="00071D1D" w:rsidRPr="004C26AE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4C26AE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4C26AE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="004576F3" w:rsidRPr="004C26AE">
        <w:rPr>
          <w:rFonts w:ascii="Sylfaen" w:hAnsi="Sylfaen"/>
          <w:b/>
          <w:lang w:val="ka-GE"/>
        </w:rPr>
        <w:t>202</w:t>
      </w:r>
      <w:r w:rsidR="00396279" w:rsidRPr="004C26AE">
        <w:rPr>
          <w:rFonts w:ascii="Sylfaen" w:hAnsi="Sylfaen"/>
          <w:b/>
          <w:lang w:val="ka-GE"/>
        </w:rPr>
        <w:t>2</w:t>
      </w:r>
      <w:r w:rsidR="004576F3" w:rsidRPr="004C26AE">
        <w:rPr>
          <w:rFonts w:ascii="Sylfaen" w:hAnsi="Sylfaen"/>
          <w:b/>
          <w:lang w:val="ka-GE"/>
        </w:rPr>
        <w:t xml:space="preserve"> წლის 30 </w:t>
      </w:r>
      <w:r w:rsidR="00396279" w:rsidRPr="004C26AE">
        <w:rPr>
          <w:rFonts w:ascii="Sylfaen" w:hAnsi="Sylfaen"/>
          <w:b/>
          <w:lang w:val="ka-GE"/>
        </w:rPr>
        <w:t>ივნისის</w:t>
      </w:r>
      <w:r w:rsidR="004576F3" w:rsidRPr="004C26A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4C26AE">
        <w:rPr>
          <w:rFonts w:ascii="Sylfaen" w:hAnsi="Sylfaen"/>
          <w:b/>
          <w:lang w:val="ka-GE"/>
        </w:rPr>
        <w:t>მდგომარეობით</w:t>
      </w:r>
    </w:p>
    <w:p w14:paraId="4915BE83" w14:textId="77777777" w:rsidR="004E767B" w:rsidRPr="00396279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highlight w:val="yellow"/>
          <w:lang w:val="ka-GE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738"/>
        <w:gridCol w:w="1164"/>
        <w:gridCol w:w="1166"/>
        <w:gridCol w:w="1166"/>
        <w:gridCol w:w="1535"/>
        <w:gridCol w:w="8"/>
        <w:gridCol w:w="925"/>
      </w:tblGrid>
      <w:tr w:rsidR="009D198C" w:rsidRPr="009D198C" w14:paraId="2E32E332" w14:textId="77777777" w:rsidTr="00B233C3">
        <w:trPr>
          <w:trHeight w:hRule="exact" w:val="611"/>
          <w:tblHeader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1AEC33B1" w14:textId="77777777" w:rsidR="009D198C" w:rsidRPr="00F8200D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კრედიტორი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</w:p>
          <w:p w14:paraId="6F47694B" w14:textId="5D86E42B" w:rsidR="009D198C" w:rsidRPr="00F8200D" w:rsidRDefault="009D198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219F67B2" w14:textId="0D2AE594" w:rsidR="009D198C" w:rsidRPr="00F8200D" w:rsidRDefault="009D198C" w:rsidP="009D198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B59DE78" w14:textId="6B65BDDC" w:rsidR="009D198C" w:rsidRPr="00F8200D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ნაშთი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ათასი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   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აშშ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დოლარი</w:t>
            </w:r>
            <w:proofErr w:type="spellEnd"/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1B89462" w14:textId="406C5575" w:rsidR="009D198C" w:rsidRPr="00F8200D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ნაშთი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ათასი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 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ლარი</w:t>
            </w:r>
            <w:proofErr w:type="spellEnd"/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12157EE" w14:textId="77777777" w:rsidR="009D198C" w:rsidRPr="00F8200D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საპროცენტო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>განაკვეთი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14:paraId="5737279E" w14:textId="77777777" w:rsidR="009D198C" w:rsidRPr="00F8200D" w:rsidRDefault="009D198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მოცემული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თარიღისათვის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66" w:type="pct"/>
            <w:gridSpan w:val="2"/>
            <w:shd w:val="clear" w:color="000000" w:fill="FFFFFF"/>
            <w:vAlign w:val="bottom"/>
            <w:hideMark/>
          </w:tcPr>
          <w:p w14:paraId="79F7B049" w14:textId="77777777" w:rsidR="009D198C" w:rsidRPr="00F8200D" w:rsidRDefault="009D198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F8200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9D198C" w:rsidRPr="009D198C" w14:paraId="0F3F8CA8" w14:textId="77777777" w:rsidTr="00B233C3">
        <w:trPr>
          <w:trHeight w:hRule="exact" w:val="294"/>
        </w:trPr>
        <w:tc>
          <w:tcPr>
            <w:tcW w:w="2028" w:type="pct"/>
            <w:gridSpan w:val="2"/>
            <w:shd w:val="clear" w:color="000000" w:fill="FFFFFF"/>
            <w:vAlign w:val="center"/>
            <w:hideMark/>
          </w:tcPr>
          <w:p w14:paraId="7142C69C" w14:textId="77777777" w:rsidR="009D198C" w:rsidRPr="009D198C" w:rsidRDefault="009D198C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 w:rsidRPr="009D198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9D198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9CA3985" w14:textId="7300B2D1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7,469,293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E0D7E0E" w14:textId="2C306598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21,876,812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6A9B7A6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14:paraId="67F74FF7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  <w:hideMark/>
          </w:tcPr>
          <w:p w14:paraId="15C3AFE4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9D198C" w:rsidRPr="009D198C" w14:paraId="4A07D1D5" w14:textId="77777777" w:rsidTr="00B233C3">
        <w:trPr>
          <w:trHeight w:hRule="exact" w:val="251"/>
        </w:trPr>
        <w:tc>
          <w:tcPr>
            <w:tcW w:w="2028" w:type="pct"/>
            <w:gridSpan w:val="2"/>
            <w:shd w:val="clear" w:color="000000" w:fill="BFBFBF"/>
            <w:vAlign w:val="center"/>
            <w:hideMark/>
          </w:tcPr>
          <w:p w14:paraId="1403BFCF" w14:textId="77777777" w:rsidR="009D198C" w:rsidRPr="009D198C" w:rsidRDefault="009D198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580" w:type="pct"/>
            <w:shd w:val="clear" w:color="000000" w:fill="BFBFBF"/>
            <w:noWrap/>
            <w:vAlign w:val="center"/>
            <w:hideMark/>
          </w:tcPr>
          <w:p w14:paraId="6EE21335" w14:textId="07B363EB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5,441,510</w:t>
            </w: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7207BC21" w14:textId="72F0401A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15,937,639</w:t>
            </w: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2DC94323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pct"/>
            <w:shd w:val="clear" w:color="000000" w:fill="BFBFBF"/>
            <w:noWrap/>
            <w:vAlign w:val="center"/>
            <w:hideMark/>
          </w:tcPr>
          <w:p w14:paraId="1D216704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2"/>
            <w:shd w:val="clear" w:color="000000" w:fill="BFBFBF"/>
            <w:noWrap/>
            <w:vAlign w:val="center"/>
            <w:hideMark/>
          </w:tcPr>
          <w:p w14:paraId="2579BB01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D198C" w:rsidRPr="009D198C" w14:paraId="323D0729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2909A24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ასოციაცია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>(WB - IDA)</w:t>
            </w:r>
          </w:p>
        </w:tc>
        <w:tc>
          <w:tcPr>
            <w:tcW w:w="368" w:type="pct"/>
            <w:vMerge w:val="restart"/>
            <w:shd w:val="clear" w:color="000000" w:fill="FFFFFF"/>
            <w:noWrap/>
            <w:vAlign w:val="center"/>
            <w:hideMark/>
          </w:tcPr>
          <w:p w14:paraId="71A29B8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636B823" w14:textId="4F712B54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525,937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C42BB80" w14:textId="3BD404C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1,540,417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72024D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173167E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5D6CCE8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0.053%</w:t>
            </w:r>
          </w:p>
        </w:tc>
      </w:tr>
      <w:tr w:rsidR="009D198C" w:rsidRPr="009D198C" w14:paraId="150E5C0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A48871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7B74277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21C0350" w14:textId="2C00D50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218,405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7B7D552" w14:textId="2873031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639,686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27FB30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5803364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E45565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0.058%</w:t>
            </w:r>
          </w:p>
        </w:tc>
      </w:tr>
      <w:tr w:rsidR="009D198C" w:rsidRPr="009D198C" w14:paraId="728DF305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2EDBEF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5C36FE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5A7F164" w14:textId="510F0E1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7,890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6E45D52" w14:textId="21643B0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23,109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1DD046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6FDE52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2.15%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54D53A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4C07C942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4AB0F51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რეკონსტრუქციის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და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 (WB - IBRD)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01B81B6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EFFE4EF" w14:textId="53D12AC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94,708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9FE663E" w14:textId="01F77CB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277,389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FA5129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AC7224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1.39%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447B5F6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0.018%</w:t>
            </w:r>
          </w:p>
        </w:tc>
      </w:tr>
      <w:tr w:rsidR="009D198C" w:rsidRPr="009D198C" w14:paraId="05B8020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1C0D6D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3DFE1B1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86140C7" w14:textId="17FAC18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1,515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5FEF7D3" w14:textId="76C29B9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4,436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417611D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997948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2.66%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72947E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434D7BBC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F324DF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7E5AF8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18BD43D" w14:textId="2B72733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5,620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C5A0E36" w14:textId="7A28A54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16,461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5E0169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20CF8B2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3.05%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5519368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5454495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E90B8F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1146AC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751B4C7" w14:textId="16CDF44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22,167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49117A0" w14:textId="40D155D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64,925</w:t>
            </w:r>
          </w:p>
        </w:tc>
        <w:tc>
          <w:tcPr>
            <w:tcW w:w="581" w:type="pct"/>
            <w:vMerge w:val="restart"/>
            <w:shd w:val="clear" w:color="000000" w:fill="FFFFFF"/>
            <w:noWrap/>
            <w:vAlign w:val="center"/>
            <w:hideMark/>
          </w:tcPr>
          <w:p w14:paraId="0D442D1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0B82AEA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0.22%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F72708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36FD511E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08EFF2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8DE4B0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2F08A82" w14:textId="1DEFAE3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104,505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0FE5D97" w14:textId="36D156F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306,083</w:t>
            </w:r>
          </w:p>
        </w:tc>
        <w:tc>
          <w:tcPr>
            <w:tcW w:w="581" w:type="pct"/>
            <w:vMerge/>
            <w:vAlign w:val="center"/>
            <w:hideMark/>
          </w:tcPr>
          <w:p w14:paraId="295944D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0B1F36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5D351F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198C" w:rsidRPr="009D198C" w14:paraId="77388609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F1DCF8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25B0446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63C86F1" w14:textId="32B5174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84,015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B11CADC" w14:textId="7FFCC0B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246,072</w:t>
            </w:r>
          </w:p>
        </w:tc>
        <w:tc>
          <w:tcPr>
            <w:tcW w:w="581" w:type="pct"/>
            <w:vMerge/>
            <w:vAlign w:val="center"/>
            <w:hideMark/>
          </w:tcPr>
          <w:p w14:paraId="449FFE6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8EFED9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0.79%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77AA5D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198C" w:rsidRPr="009D198C" w14:paraId="627B98CD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E7B072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0CEFF3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021F831" w14:textId="314729E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22,189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23B120B" w14:textId="049930E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64,989</w:t>
            </w:r>
          </w:p>
        </w:tc>
        <w:tc>
          <w:tcPr>
            <w:tcW w:w="581" w:type="pct"/>
            <w:vMerge/>
            <w:vAlign w:val="center"/>
            <w:hideMark/>
          </w:tcPr>
          <w:p w14:paraId="1F300A3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1104962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1.04%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8013C8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34DCDD57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AA1CC4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6C25ED5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61036D9" w14:textId="2A8A0CE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150,289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714D483" w14:textId="6D6E6DC4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440,183</w:t>
            </w:r>
          </w:p>
        </w:tc>
        <w:tc>
          <w:tcPr>
            <w:tcW w:w="581" w:type="pct"/>
            <w:vMerge w:val="restart"/>
            <w:shd w:val="clear" w:color="000000" w:fill="FFFFFF"/>
            <w:vAlign w:val="center"/>
            <w:hideMark/>
          </w:tcPr>
          <w:p w14:paraId="3529697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Ref.Rate+VS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0C0368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0.74%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38F89E4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0.015%</w:t>
            </w:r>
          </w:p>
        </w:tc>
      </w:tr>
      <w:tr w:rsidR="009D198C" w:rsidRPr="009D198C" w14:paraId="2C6A0A13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8241A6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3C15224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1CFECBC" w14:textId="042FD48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39,857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0B9A8F5" w14:textId="77E5067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116,737</w:t>
            </w:r>
          </w:p>
        </w:tc>
        <w:tc>
          <w:tcPr>
            <w:tcW w:w="581" w:type="pct"/>
            <w:vMerge/>
            <w:vAlign w:val="center"/>
            <w:hideMark/>
          </w:tcPr>
          <w:p w14:paraId="1D93B5D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6B3D63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0.94%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C2ED9E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9D198C" w:rsidRPr="009D198C" w14:paraId="53337F49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B11335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DEAC86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315E0D2" w14:textId="4D90174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148,407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95E98E1" w14:textId="7163E0B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434,669</w:t>
            </w:r>
          </w:p>
        </w:tc>
        <w:tc>
          <w:tcPr>
            <w:tcW w:w="581" w:type="pct"/>
            <w:vMerge/>
            <w:vAlign w:val="center"/>
            <w:hideMark/>
          </w:tcPr>
          <w:p w14:paraId="4D1BB93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B9E60A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1.14%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45EDE9E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0.023%</w:t>
            </w:r>
          </w:p>
        </w:tc>
      </w:tr>
      <w:tr w:rsidR="009D198C" w:rsidRPr="009D198C" w14:paraId="0415F295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9A7061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7A1496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18A5607" w14:textId="3C3E7C9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26,383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313214F" w14:textId="4B2A79A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77,272</w:t>
            </w:r>
          </w:p>
        </w:tc>
        <w:tc>
          <w:tcPr>
            <w:tcW w:w="581" w:type="pct"/>
            <w:vMerge/>
            <w:vAlign w:val="center"/>
            <w:hideMark/>
          </w:tcPr>
          <w:p w14:paraId="1FF1BA9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78F824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1.68%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786A93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198C" w:rsidRPr="009D198C" w14:paraId="3B640F3D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5907E4B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EDE2F3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CC68961" w14:textId="1F0F702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54,545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79128C0" w14:textId="6353DBC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159,758</w:t>
            </w:r>
          </w:p>
        </w:tc>
        <w:tc>
          <w:tcPr>
            <w:tcW w:w="581" w:type="pct"/>
            <w:vMerge/>
            <w:vAlign w:val="center"/>
            <w:hideMark/>
          </w:tcPr>
          <w:p w14:paraId="16D537C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CC981A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1.99%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298055B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0.015%</w:t>
            </w:r>
          </w:p>
        </w:tc>
      </w:tr>
      <w:tr w:rsidR="009D198C" w:rsidRPr="009D198C" w14:paraId="7EE446B5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8A969E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64FCAF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E29FA43" w14:textId="03003D9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67,394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B72AD56" w14:textId="6B6AAAB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197,389</w:t>
            </w:r>
          </w:p>
        </w:tc>
        <w:tc>
          <w:tcPr>
            <w:tcW w:w="581" w:type="pct"/>
            <w:vMerge/>
            <w:vAlign w:val="center"/>
            <w:hideMark/>
          </w:tcPr>
          <w:p w14:paraId="0970A3A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142BDE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2.24%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387BC29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9D198C" w:rsidRPr="009D198C" w14:paraId="0FC481D1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6798EA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061A08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C579C41" w14:textId="3E0C836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28,818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8123B36" w14:textId="307EE52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84,406</w:t>
            </w:r>
          </w:p>
        </w:tc>
        <w:tc>
          <w:tcPr>
            <w:tcW w:w="581" w:type="pct"/>
            <w:vMerge/>
            <w:vAlign w:val="center"/>
            <w:hideMark/>
          </w:tcPr>
          <w:p w14:paraId="4E76590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D42A6F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2.35%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10CB68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198C" w:rsidRPr="009D198C" w14:paraId="7B0CB599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0B4D7C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34C62D7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1CA9E46" w14:textId="54E561A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204,717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526AE52" w14:textId="196CD7A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599,596</w:t>
            </w:r>
          </w:p>
        </w:tc>
        <w:tc>
          <w:tcPr>
            <w:tcW w:w="581" w:type="pct"/>
            <w:vMerge/>
            <w:vAlign w:val="center"/>
            <w:hideMark/>
          </w:tcPr>
          <w:p w14:paraId="77FA5B8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A9693E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2.56%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5DB4C59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0.070%</w:t>
            </w:r>
          </w:p>
        </w:tc>
      </w:tr>
      <w:tr w:rsidR="009D198C" w:rsidRPr="009D198C" w14:paraId="1793221E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19FB1E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679E15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CC66CF9" w14:textId="75635C8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140,827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34F3FF0" w14:textId="6656C03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412,467</w:t>
            </w:r>
          </w:p>
        </w:tc>
        <w:tc>
          <w:tcPr>
            <w:tcW w:w="581" w:type="pct"/>
            <w:vMerge/>
            <w:vAlign w:val="center"/>
            <w:hideMark/>
          </w:tcPr>
          <w:p w14:paraId="1254858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F92328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2.69%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36A94A4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0.051%</w:t>
            </w:r>
          </w:p>
        </w:tc>
      </w:tr>
      <w:tr w:rsidR="009D198C" w:rsidRPr="009D198C" w14:paraId="5FA98B12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290A5B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0231A4D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58D734C" w14:textId="5FEAA60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33,266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E8CF502" w14:textId="4C963F7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97,431</w:t>
            </w:r>
          </w:p>
        </w:tc>
        <w:tc>
          <w:tcPr>
            <w:tcW w:w="581" w:type="pct"/>
            <w:vMerge/>
            <w:vAlign w:val="center"/>
            <w:hideMark/>
          </w:tcPr>
          <w:p w14:paraId="60A02E1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C14CC1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2.99%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44E6A73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9D198C" w:rsidRPr="009D198C" w14:paraId="2F3880C8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0649242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სოფლის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მეურნეობის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ფონდი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3EFDCF1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9FF02D8" w14:textId="0F1D371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15,900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71CEF9C" w14:textId="423225E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46,569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C21170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C7D3BD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B6D67E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504CF3C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5B14D6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DF32C9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502F507" w14:textId="7C32D13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9,605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D7EC24B" w14:textId="25C7434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28,132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2F08C4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1142D2F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4BA33C4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2392522E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33197D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09A54C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BB2B840" w14:textId="13B55B2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3,072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25328F1" w14:textId="52CC9D1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8,996.74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B56A08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Ref.Rate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+ IBRD VS)/2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355877D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1DFA3A1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0F2F2669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F67646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C84D93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F8E7D49" w14:textId="6B713F9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7,373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8690CB2" w14:textId="607B624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21,594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2118E4D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530F5C8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0.96%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F5D73C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388DFC09" w14:textId="77777777" w:rsidTr="00B233C3">
        <w:trPr>
          <w:trHeight w:hRule="exact" w:val="421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1EE1357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სავალუტო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ფონდი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(IMF EFF,MOF)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0CC7C8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FD23BA1" w14:textId="17E5AE9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195,184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F46819B" w14:textId="648D505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571,674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0EE6E35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AAD284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1.89%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6FEED5D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0.049%</w:t>
            </w:r>
          </w:p>
        </w:tc>
      </w:tr>
      <w:tr w:rsidR="009D198C" w:rsidRPr="009D198C" w14:paraId="6CDAAD8A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3A0AACD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ევროგაერთიანება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D198C">
              <w:rPr>
                <w:rFonts w:ascii="Calibri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4695066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E235889" w14:textId="371D6E1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99,969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D0865AD" w14:textId="17C5E41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292,800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631528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D37ACC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0.13%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5BEB4C4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78F5B523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C406E3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ED1CB3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16EBC07" w14:textId="38330FE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10,523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0301C82" w14:textId="13993A4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30,821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0C2510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59ABB93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BEE887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73A04D5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532E83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0D0454F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A3D25CE" w14:textId="4BE5AA7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13,680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6E03D02" w14:textId="2D747A5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40,067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3391423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6A6965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1.16%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1FE3723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2941BBFD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7C3DB6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FC494F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393E1C9" w14:textId="6138479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15,785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B49A0E1" w14:textId="1B47CFB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46,231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2ADAEC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C17F13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5D8DF01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308C3901" w14:textId="77777777" w:rsidTr="00B233C3">
        <w:trPr>
          <w:trHeight w:hRule="exact" w:val="421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59D5B3D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ევროპის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რეკონსტრუქციის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და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6625F7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6F5D9FC" w14:textId="489CCBD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221,508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0B86C65" w14:textId="6202C8C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648,775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0E231BF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>+ 1%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3F55C5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0.95%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6E4BF5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0.028%</w:t>
            </w:r>
          </w:p>
        </w:tc>
      </w:tr>
      <w:tr w:rsidR="009D198C" w:rsidRPr="009D198C" w14:paraId="3D0A5121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auto" w:fill="auto"/>
            <w:vAlign w:val="center"/>
            <w:hideMark/>
          </w:tcPr>
          <w:p w14:paraId="0E73A62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აზიის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05B9979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BF812AE" w14:textId="7323292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53,531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6F16CDC" w14:textId="4A58069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156,786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66EA10F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C9A5DF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9131B4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198C" w:rsidRPr="009D198C" w14:paraId="7A45822C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FD72CC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0CDD238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AA816EF" w14:textId="6EAEAE1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260,983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D848719" w14:textId="64C5A0E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764,393</w:t>
            </w:r>
          </w:p>
        </w:tc>
        <w:tc>
          <w:tcPr>
            <w:tcW w:w="581" w:type="pct"/>
            <w:vMerge/>
            <w:vAlign w:val="center"/>
            <w:hideMark/>
          </w:tcPr>
          <w:p w14:paraId="203F8D5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11F2D5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41AFC1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0.052%</w:t>
            </w:r>
          </w:p>
        </w:tc>
      </w:tr>
      <w:tr w:rsidR="009D198C" w:rsidRPr="009D198C" w14:paraId="2F56EC4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579FDC4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2AD35BC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9759B8C" w14:textId="65CE362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24,435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FDCF5B0" w14:textId="5DA8E9E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71,568</w:t>
            </w:r>
          </w:p>
        </w:tc>
        <w:tc>
          <w:tcPr>
            <w:tcW w:w="581" w:type="pct"/>
            <w:vMerge/>
            <w:vAlign w:val="center"/>
            <w:hideMark/>
          </w:tcPr>
          <w:p w14:paraId="5ACA6B1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27BC28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1.60%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0E3699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9D198C" w:rsidRPr="009D198C" w14:paraId="69A394C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4B2FD2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1A7216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3B8D575" w14:textId="4093079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185,701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4E19650" w14:textId="18DDE51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543,898</w:t>
            </w:r>
          </w:p>
        </w:tc>
        <w:tc>
          <w:tcPr>
            <w:tcW w:w="581" w:type="pct"/>
            <w:vMerge/>
            <w:vAlign w:val="center"/>
            <w:hideMark/>
          </w:tcPr>
          <w:p w14:paraId="4D50465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BA84CA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292827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0.050%</w:t>
            </w:r>
          </w:p>
        </w:tc>
      </w:tr>
      <w:tr w:rsidR="009D198C" w:rsidRPr="009D198C" w14:paraId="566C858E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38F5AB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D977F0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7F064D6" w14:textId="7357127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97,130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C59625A" w14:textId="34A301D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284,484</w:t>
            </w:r>
          </w:p>
        </w:tc>
        <w:tc>
          <w:tcPr>
            <w:tcW w:w="581" w:type="pct"/>
            <w:vMerge/>
            <w:vAlign w:val="center"/>
            <w:hideMark/>
          </w:tcPr>
          <w:p w14:paraId="5C1ECCC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4A3672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BB83F9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792F6DD0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C4C828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3E38957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BCACBF3" w14:textId="3F71AC0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254,430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DFEFB53" w14:textId="2A63E5E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745,199</w:t>
            </w:r>
          </w:p>
        </w:tc>
        <w:tc>
          <w:tcPr>
            <w:tcW w:w="581" w:type="pct"/>
            <w:vMerge/>
            <w:vAlign w:val="center"/>
            <w:hideMark/>
          </w:tcPr>
          <w:p w14:paraId="49FC750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52220C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0.37%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951261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9D198C" w:rsidRPr="009D198C" w14:paraId="2BCDE2CE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B94B18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026AA64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079309B" w14:textId="0D441C8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44,635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44A831A" w14:textId="7C6129E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130,730</w:t>
            </w:r>
          </w:p>
        </w:tc>
        <w:tc>
          <w:tcPr>
            <w:tcW w:w="581" w:type="pct"/>
            <w:vMerge/>
            <w:vAlign w:val="center"/>
            <w:hideMark/>
          </w:tcPr>
          <w:p w14:paraId="4994504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59D90A8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0.38%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67619E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785FE517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482D1C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79B68A1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ADBB904" w14:textId="35413D9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1,616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A55BEA0" w14:textId="2E50899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4,733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167EB07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1544320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0.08%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440E36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0C44D5B9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1E4901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0878185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249DF74" w14:textId="533FD7C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153,578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70E1A90" w14:textId="491D43E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449,813</w:t>
            </w:r>
          </w:p>
        </w:tc>
        <w:tc>
          <w:tcPr>
            <w:tcW w:w="581" w:type="pct"/>
            <w:vMerge/>
            <w:vAlign w:val="center"/>
            <w:hideMark/>
          </w:tcPr>
          <w:p w14:paraId="231DF3B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F1B5F1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81BC44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020392AF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7C7C11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54799F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6EAC0A5" w14:textId="08294724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222,765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6ED55F4" w14:textId="7C3AFA3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652,456</w:t>
            </w:r>
          </w:p>
        </w:tc>
        <w:tc>
          <w:tcPr>
            <w:tcW w:w="581" w:type="pct"/>
            <w:vMerge/>
            <w:vAlign w:val="center"/>
            <w:hideMark/>
          </w:tcPr>
          <w:p w14:paraId="3A074D9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537FBB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0.30%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FC1346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198C" w:rsidRPr="009D198C" w14:paraId="741B9E90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5E1EF97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5547B4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5097295" w14:textId="08C8CD1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3,482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67DB5A5" w14:textId="5857173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10,199</w:t>
            </w:r>
          </w:p>
        </w:tc>
        <w:tc>
          <w:tcPr>
            <w:tcW w:w="581" w:type="pct"/>
            <w:vMerge/>
            <w:vAlign w:val="center"/>
            <w:hideMark/>
          </w:tcPr>
          <w:p w14:paraId="1FAE23A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699A32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0.40%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F156DA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28785F02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29EFBD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0831296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10D046A" w14:textId="69363EE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127,549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B6F4DB8" w14:textId="23DBFCD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373,577</w:t>
            </w:r>
          </w:p>
        </w:tc>
        <w:tc>
          <w:tcPr>
            <w:tcW w:w="581" w:type="pct"/>
            <w:vMerge/>
            <w:vAlign w:val="center"/>
            <w:hideMark/>
          </w:tcPr>
          <w:p w14:paraId="0805655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520C5CE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F5484D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198C" w:rsidRPr="009D198C" w14:paraId="55CDBC0E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CE186B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62FA4D7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77B6590" w14:textId="3A15A10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92,522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3F42526" w14:textId="604D591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270,986</w:t>
            </w:r>
          </w:p>
        </w:tc>
        <w:tc>
          <w:tcPr>
            <w:tcW w:w="581" w:type="pct"/>
            <w:vMerge w:val="restart"/>
            <w:shd w:val="clear" w:color="000000" w:fill="FFFFFF"/>
            <w:vAlign w:val="center"/>
            <w:hideMark/>
          </w:tcPr>
          <w:p w14:paraId="1841E27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Ref.Rate+FS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29AE4C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B465F9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0.025%</w:t>
            </w:r>
          </w:p>
        </w:tc>
      </w:tr>
      <w:tr w:rsidR="009D198C" w:rsidRPr="009D198C" w14:paraId="60BA9722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50B458B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31BBAF4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8403859" w14:textId="0FAE4FE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49,583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2BE63FC" w14:textId="4F453E3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145,225</w:t>
            </w:r>
          </w:p>
        </w:tc>
        <w:tc>
          <w:tcPr>
            <w:tcW w:w="581" w:type="pct"/>
            <w:vMerge/>
            <w:vAlign w:val="center"/>
            <w:hideMark/>
          </w:tcPr>
          <w:p w14:paraId="7D0E701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DF02A3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2.18%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190F2A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9D198C" w:rsidRPr="009D198C" w14:paraId="42D3515C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144EDD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7C65EA1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CD22DD3" w14:textId="09981D4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64,801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634DDC7" w14:textId="7D4C121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189,797</w:t>
            </w:r>
          </w:p>
        </w:tc>
        <w:tc>
          <w:tcPr>
            <w:tcW w:w="581" w:type="pct"/>
            <w:vMerge/>
            <w:vAlign w:val="center"/>
            <w:hideMark/>
          </w:tcPr>
          <w:p w14:paraId="452D0B5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C17C4B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2.28%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66E38E3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9D198C" w:rsidRPr="009D198C" w14:paraId="7C0A92F8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FE5028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F9FA3A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A57167D" w14:textId="5E920C1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188,095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A068FCE" w14:textId="4225700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550,912</w:t>
            </w:r>
          </w:p>
        </w:tc>
        <w:tc>
          <w:tcPr>
            <w:tcW w:w="581" w:type="pct"/>
            <w:vMerge/>
            <w:vAlign w:val="center"/>
            <w:hideMark/>
          </w:tcPr>
          <w:p w14:paraId="28C795D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BCD632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2.38%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6161B28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0.060%</w:t>
            </w:r>
          </w:p>
        </w:tc>
      </w:tr>
      <w:tr w:rsidR="009D198C" w:rsidRPr="009D198C" w14:paraId="77CA5AE6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auto" w:fill="auto"/>
            <w:vAlign w:val="center"/>
            <w:hideMark/>
          </w:tcPr>
          <w:p w14:paraId="3CB5418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აზიის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ინფრასტრუქტურის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0A0E26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719EF32" w14:textId="3C2036B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49,993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8FA14FA" w14:textId="4F601C7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146,424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7D037D0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9E171C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2.53%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28D7BF1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0.017%</w:t>
            </w:r>
          </w:p>
        </w:tc>
      </w:tr>
      <w:tr w:rsidR="009D198C" w:rsidRPr="009D198C" w14:paraId="061ADC41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90E145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1C2EAE3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5DE2356" w14:textId="23A36E34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47,354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5FE6C49" w14:textId="329FA21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138,694</w:t>
            </w:r>
          </w:p>
        </w:tc>
        <w:tc>
          <w:tcPr>
            <w:tcW w:w="581" w:type="pct"/>
            <w:vMerge w:val="restart"/>
            <w:shd w:val="clear" w:color="000000" w:fill="FFFFFF"/>
            <w:vAlign w:val="center"/>
            <w:hideMark/>
          </w:tcPr>
          <w:p w14:paraId="3C8D28C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E612DE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412A12A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4A921170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F804A9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07BA0CF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79073F1" w14:textId="00D170A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88,895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BBCA2F7" w14:textId="5E51520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260,365</w:t>
            </w:r>
          </w:p>
        </w:tc>
        <w:tc>
          <w:tcPr>
            <w:tcW w:w="581" w:type="pct"/>
            <w:vMerge/>
            <w:vAlign w:val="center"/>
            <w:hideMark/>
          </w:tcPr>
          <w:p w14:paraId="1EC4C35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D86796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0.54%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2AEC695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198C" w:rsidRPr="009D198C" w14:paraId="342FFBDC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auto" w:fill="auto"/>
            <w:vAlign w:val="center"/>
            <w:hideMark/>
          </w:tcPr>
          <w:p w14:paraId="60B3BF91" w14:textId="77777777" w:rsidR="009D198C" w:rsidRPr="009D198C" w:rsidRDefault="009D198C" w:rsidP="00F8200D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ევროსაბჭოს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(CEB)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6AC8FB4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B5C0E29" w14:textId="2E8AF04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3,989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598060C" w14:textId="44C32D6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11,683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442CDB5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7E68DE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0.50%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32DF1B8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342104DD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FDDFD6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724EB05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FCF7FE6" w14:textId="4C7474A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949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66A7E48" w14:textId="0B8D5CE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2,779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1E7B874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4021AB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0.24%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5FC8C45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33F2C235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71C4622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ევროპის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საინვესტიციო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>(EIB)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15F68A8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E2C0E9E" w14:textId="1394E4D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89,446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B398D20" w14:textId="3711AAD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261,979</w:t>
            </w:r>
          </w:p>
        </w:tc>
        <w:tc>
          <w:tcPr>
            <w:tcW w:w="581" w:type="pct"/>
            <w:vMerge w:val="restart"/>
            <w:shd w:val="clear" w:color="000000" w:fill="FFFFFF"/>
            <w:noWrap/>
            <w:vAlign w:val="center"/>
            <w:hideMark/>
          </w:tcPr>
          <w:p w14:paraId="19E7FAA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3871C5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21577A1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198C" w:rsidRPr="009D198C" w14:paraId="3E9439BA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311318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5A63D2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5848F42" w14:textId="1FF94EF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29,991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978A727" w14:textId="1269B42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87,840</w:t>
            </w:r>
          </w:p>
        </w:tc>
        <w:tc>
          <w:tcPr>
            <w:tcW w:w="581" w:type="pct"/>
            <w:vMerge/>
            <w:vAlign w:val="center"/>
            <w:hideMark/>
          </w:tcPr>
          <w:p w14:paraId="44B1444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5F95521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0.49%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E7A8D8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591A5D4A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57776BB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B6C087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A8DDE41" w14:textId="0026736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68,400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F94245A" w14:textId="0CEA758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200,336</w:t>
            </w:r>
          </w:p>
        </w:tc>
        <w:tc>
          <w:tcPr>
            <w:tcW w:w="581" w:type="pct"/>
            <w:vMerge/>
            <w:vAlign w:val="center"/>
            <w:hideMark/>
          </w:tcPr>
          <w:p w14:paraId="0143682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1FEDF9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0.57%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9D41AF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9D198C" w:rsidRPr="009D198C" w14:paraId="07444A6E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379B7E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F91C2F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5F206C1" w14:textId="05602EA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3,854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0F9DF59" w14:textId="4B17843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11,288</w:t>
            </w:r>
          </w:p>
        </w:tc>
        <w:tc>
          <w:tcPr>
            <w:tcW w:w="581" w:type="pct"/>
            <w:vMerge/>
            <w:vAlign w:val="center"/>
            <w:hideMark/>
          </w:tcPr>
          <w:p w14:paraId="1CFA2CE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4987B8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0.73%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28C7779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3068781A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1E81E9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20EBB09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CE2BA92" w14:textId="3A9B451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29,615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11C3679" w14:textId="58EBAE6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86,739</w:t>
            </w:r>
          </w:p>
        </w:tc>
        <w:tc>
          <w:tcPr>
            <w:tcW w:w="581" w:type="pct"/>
            <w:vMerge/>
            <w:vAlign w:val="center"/>
            <w:hideMark/>
          </w:tcPr>
          <w:p w14:paraId="6262AC1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7E70594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371EB73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640ED1F1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2D4483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4E3973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A2BD62A" w14:textId="48F1617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53,668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EC3FF44" w14:textId="3B81FA1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157,187</w:t>
            </w:r>
          </w:p>
        </w:tc>
        <w:tc>
          <w:tcPr>
            <w:tcW w:w="581" w:type="pct"/>
            <w:vMerge/>
            <w:vAlign w:val="center"/>
            <w:hideMark/>
          </w:tcPr>
          <w:p w14:paraId="4024D73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060B75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966491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198C" w:rsidRPr="009D198C" w14:paraId="513795A9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798FB9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32F9B9E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15DED7F" w14:textId="206E777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31,909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B6CF068" w14:textId="55BC0D0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93,457</w:t>
            </w:r>
          </w:p>
        </w:tc>
        <w:tc>
          <w:tcPr>
            <w:tcW w:w="581" w:type="pct"/>
            <w:vMerge/>
            <w:vAlign w:val="center"/>
            <w:hideMark/>
          </w:tcPr>
          <w:p w14:paraId="1D4FCCB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96DDAA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1.67%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266A25C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198C" w:rsidRPr="009D198C" w14:paraId="09A4D45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5C755CD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D77AC4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317EEAA" w14:textId="7835579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110,492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82BBA50" w14:textId="509A6464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323,621</w:t>
            </w:r>
          </w:p>
        </w:tc>
        <w:tc>
          <w:tcPr>
            <w:tcW w:w="581" w:type="pct"/>
            <w:vMerge/>
            <w:vAlign w:val="center"/>
            <w:hideMark/>
          </w:tcPr>
          <w:p w14:paraId="60975EA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A16694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38D2CA3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0.030%</w:t>
            </w:r>
          </w:p>
        </w:tc>
      </w:tr>
      <w:tr w:rsidR="009D198C" w:rsidRPr="009D198C" w14:paraId="03A2ED47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372A2B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2FD9E8A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5C021A4" w14:textId="76B2E8C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6,487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6D786E4" w14:textId="39B6311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19,000</w:t>
            </w:r>
          </w:p>
        </w:tc>
        <w:tc>
          <w:tcPr>
            <w:tcW w:w="581" w:type="pct"/>
            <w:vMerge/>
            <w:vAlign w:val="center"/>
            <w:hideMark/>
          </w:tcPr>
          <w:p w14:paraId="555EAB6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2BE2485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2.98%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22FDF4B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1F34974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C755E8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DB7976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7379BF6" w14:textId="61BA581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181,523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B6714E4" w14:textId="7EE359B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531,662</w:t>
            </w:r>
          </w:p>
        </w:tc>
        <w:tc>
          <w:tcPr>
            <w:tcW w:w="581" w:type="pct"/>
            <w:vMerge w:val="restart"/>
            <w:shd w:val="clear" w:color="auto" w:fill="auto"/>
            <w:noWrap/>
            <w:vAlign w:val="center"/>
            <w:hideMark/>
          </w:tcPr>
          <w:p w14:paraId="1C99579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1C1A00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3C262A6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469E4B34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F9CD9B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7F59D1B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3CE6FAF" w14:textId="0332634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31,569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19F5422" w14:textId="1B42984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92,463</w:t>
            </w:r>
          </w:p>
        </w:tc>
        <w:tc>
          <w:tcPr>
            <w:tcW w:w="581" w:type="pct"/>
            <w:vMerge/>
            <w:vAlign w:val="center"/>
            <w:hideMark/>
          </w:tcPr>
          <w:p w14:paraId="286B61B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3A914AC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72EE9A3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103F30BF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1B7D80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4E7E2C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EF3E2C2" w14:textId="3F6D955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94,708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D4EE69F" w14:textId="0320BDC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277,389</w:t>
            </w:r>
          </w:p>
        </w:tc>
        <w:tc>
          <w:tcPr>
            <w:tcW w:w="581" w:type="pct"/>
            <w:vMerge/>
            <w:vAlign w:val="center"/>
            <w:hideMark/>
          </w:tcPr>
          <w:p w14:paraId="16F239C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5A057B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0.24%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53521D6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3F7E9EFF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33DBC9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277F4D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EF7F693" w14:textId="7FDF8F2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18,547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9BB60E2" w14:textId="0FF071F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54,322</w:t>
            </w:r>
          </w:p>
        </w:tc>
        <w:tc>
          <w:tcPr>
            <w:tcW w:w="581" w:type="pct"/>
            <w:vMerge/>
            <w:vAlign w:val="center"/>
            <w:hideMark/>
          </w:tcPr>
          <w:p w14:paraId="5480A52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664BB37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0.35%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013092D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138B9E90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7A6626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519A61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4069642" w14:textId="404843E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59,341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BBF0ECA" w14:textId="38A9AF2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173,805</w:t>
            </w:r>
          </w:p>
        </w:tc>
        <w:tc>
          <w:tcPr>
            <w:tcW w:w="581" w:type="pct"/>
            <w:vMerge/>
            <w:vAlign w:val="center"/>
            <w:hideMark/>
          </w:tcPr>
          <w:p w14:paraId="3BA7005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0C438B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0.43%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52BF64D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37750E01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E4EBEB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DF792D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DC89DC3" w14:textId="356DAEB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8,644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4593E60" w14:textId="133BA65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25,318</w:t>
            </w:r>
          </w:p>
        </w:tc>
        <w:tc>
          <w:tcPr>
            <w:tcW w:w="581" w:type="pct"/>
            <w:vMerge/>
            <w:vAlign w:val="center"/>
            <w:hideMark/>
          </w:tcPr>
          <w:p w14:paraId="3EBA982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176C019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0.49%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258697A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0264B098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0A70D8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3BE299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14D6462" w14:textId="2E4BC31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31,057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110F318" w14:textId="2A63179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90,964</w:t>
            </w:r>
          </w:p>
        </w:tc>
        <w:tc>
          <w:tcPr>
            <w:tcW w:w="581" w:type="pct"/>
            <w:vMerge/>
            <w:vAlign w:val="center"/>
            <w:hideMark/>
          </w:tcPr>
          <w:p w14:paraId="424AC45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495B61F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0.50%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51CB616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4B8C8EE3" w14:textId="77777777" w:rsidTr="00B233C3">
        <w:trPr>
          <w:trHeight w:hRule="exact" w:val="466"/>
        </w:trPr>
        <w:tc>
          <w:tcPr>
            <w:tcW w:w="1660" w:type="pct"/>
            <w:shd w:val="clear" w:color="auto" w:fill="auto"/>
            <w:vAlign w:val="center"/>
            <w:hideMark/>
          </w:tcPr>
          <w:p w14:paraId="6BD77A9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სკანდინავიური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გარემოსდაცვის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საფინანსო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კორპორაცია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(NEFCO)  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48664E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2DA8487" w14:textId="79E869F4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2,195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41B243B" w14:textId="79C205E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6,429</w:t>
            </w:r>
          </w:p>
        </w:tc>
        <w:tc>
          <w:tcPr>
            <w:tcW w:w="581" w:type="pct"/>
            <w:shd w:val="clear" w:color="000000" w:fill="FFFFFF"/>
            <w:vAlign w:val="center"/>
            <w:hideMark/>
          </w:tcPr>
          <w:p w14:paraId="6049C89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14:paraId="09A05A6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6" w:type="pct"/>
            <w:gridSpan w:val="2"/>
            <w:shd w:val="clear" w:color="auto" w:fill="auto"/>
            <w:noWrap/>
            <w:vAlign w:val="center"/>
            <w:hideMark/>
          </w:tcPr>
          <w:p w14:paraId="67B9520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56224A00" w14:textId="77777777" w:rsidTr="00B233C3">
        <w:trPr>
          <w:trHeight w:hRule="exact" w:val="296"/>
        </w:trPr>
        <w:tc>
          <w:tcPr>
            <w:tcW w:w="1660" w:type="pct"/>
            <w:shd w:val="clear" w:color="000000" w:fill="BFBFBF"/>
            <w:vAlign w:val="center"/>
            <w:hideMark/>
          </w:tcPr>
          <w:p w14:paraId="6A528B14" w14:textId="77777777" w:rsidR="009D198C" w:rsidRPr="009D198C" w:rsidRDefault="009D198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ორმხრივი</w:t>
            </w:r>
            <w:proofErr w:type="spellEnd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368" w:type="pct"/>
            <w:shd w:val="clear" w:color="000000" w:fill="BFBFBF"/>
            <w:vAlign w:val="center"/>
            <w:hideMark/>
          </w:tcPr>
          <w:p w14:paraId="7BAE7EB0" w14:textId="77777777" w:rsidR="009D198C" w:rsidRPr="009D198C" w:rsidRDefault="009D198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pct"/>
            <w:shd w:val="clear" w:color="000000" w:fill="BFBFBF"/>
            <w:noWrap/>
            <w:vAlign w:val="center"/>
            <w:hideMark/>
          </w:tcPr>
          <w:p w14:paraId="703F32E0" w14:textId="20E6D26B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1,526,451</w:t>
            </w: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438FAED7" w14:textId="28B3C818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4,470,823</w:t>
            </w: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7A33447F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pct"/>
            <w:shd w:val="clear" w:color="000000" w:fill="BFBFBF"/>
            <w:noWrap/>
            <w:vAlign w:val="center"/>
            <w:hideMark/>
          </w:tcPr>
          <w:p w14:paraId="1BD7A68A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2"/>
            <w:shd w:val="clear" w:color="000000" w:fill="BFBFBF"/>
            <w:noWrap/>
            <w:vAlign w:val="center"/>
            <w:hideMark/>
          </w:tcPr>
          <w:p w14:paraId="3B1CACE9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D198C" w:rsidRPr="009D198C" w14:paraId="68607DC0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7C7DB64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DC7425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04927C6" w14:textId="48001B5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14,630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187AFDE" w14:textId="6FBEF92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42,851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D72C8C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378DD20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56BE94D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737AF993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58C52EC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FA1589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BCFBAAD" w14:textId="6A01F56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3,721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B3925F6" w14:textId="285CD2E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10,899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A72212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276F171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BD55DC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33260057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4FC5606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21148A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C1E2A8E" w14:textId="6EC04CD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C536047" w14:textId="52A2C45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618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5A163B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B7AB70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DCD2C3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4D61E7EE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53E7D29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7F869B2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9FC39FB" w14:textId="4510A9B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7,246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C493F35" w14:textId="7938ABF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21,223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10A92B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3DAC6F9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3.13%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1B41FBB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198C" w:rsidRPr="009D198C" w14:paraId="4EB3E07E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400B708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1E7AC9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FD46794" w14:textId="199B078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2,714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296935A" w14:textId="7FA7D89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7,950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359F9D7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768B9C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17AC793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3B9CDF5C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65B8189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2952CE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FE79885" w14:textId="76C6737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25,436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2D2E58E" w14:textId="02A194A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74,499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FBD5E1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0ED05D1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A90446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9D198C" w:rsidRPr="009D198C" w14:paraId="729D9198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0C31B24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6990155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78EBCFC" w14:textId="34A9E00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3,283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9F4F35B" w14:textId="08E95F3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9,614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5289B6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1DFE61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589CD8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0A4D0E6D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21E77C3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895178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AB4962C" w14:textId="3A992A4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4,048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CF1E0B1" w14:textId="4150291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11,856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06459D7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37B612A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5EF579C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351E32A9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492F243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308E44A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CEC843F" w14:textId="0815F0E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530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89A4CF6" w14:textId="3205DC2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1,552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2875EA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+ 0.3% 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2E47B62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0.02%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10234BC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098DE12A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28A476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DE2E5C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495100E" w14:textId="029AAB0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121,822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595B523" w14:textId="421A721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356,805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B52E79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>+ 0.72%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68A761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0.55%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8E08CF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198C" w:rsidRPr="009D198C" w14:paraId="4D77A16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303C98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356D52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53CDB5E" w14:textId="0646F63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91,200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AB86B94" w14:textId="43F815C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267,115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004031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4F6E8D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F4F3A2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198C" w:rsidRPr="009D198C" w14:paraId="5E4E8ED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178746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0515F71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6B53A99" w14:textId="5AEB871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102,951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195CD9D" w14:textId="4245BAA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301,533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4AFDEC4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0A5F583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6C8BED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9D198C" w:rsidRPr="009D198C" w14:paraId="4A6294C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6CB4359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3EE3745D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6F3F51E" w14:textId="073B755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189,415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80F57DD" w14:textId="496A08F4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554,778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0FAA9C9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1F45340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CE8CF3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0.022%</w:t>
            </w:r>
          </w:p>
        </w:tc>
      </w:tr>
      <w:tr w:rsidR="009D198C" w:rsidRPr="009D198C" w14:paraId="0428FCF5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2F24C5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46697D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EDBF9D5" w14:textId="391BE62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25,558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80C3B57" w14:textId="34F5A8C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74,858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384D661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0C51CF3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986D1B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198C" w:rsidRPr="009D198C" w14:paraId="54A5CCF3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337CE67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9A17A0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2D35DD9" w14:textId="189BD2A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40,366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1C4189D" w14:textId="48EE08F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118,229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AF0FD2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0A2C8AE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9D9693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9D198C" w:rsidRPr="009D198C" w14:paraId="6B22045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7B4770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6147C8F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9F6BCF9" w14:textId="597E47D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15,716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9BC6A3C" w14:textId="309EE0B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46,032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3C44481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228EF22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2.20%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0EC7A7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9D198C" w:rsidRPr="009D198C" w14:paraId="604C9CD2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30D356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7CC77CD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C0E74E5" w14:textId="7C08589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8,240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1A72EAA" w14:textId="4EB158B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24,133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5B5EF7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FAFD16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700AF2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9D198C" w:rsidRPr="009D198C" w14:paraId="65A028B7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62917D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2183FD4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F99525B" w14:textId="69F1B17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13,154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17F94FAB" w14:textId="53945D9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38,526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272081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BAD6AA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5.70%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46E1F5D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9D198C" w:rsidRPr="009D198C" w14:paraId="261AB27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C46F3D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90610A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8BA507A" w14:textId="71E95F0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4,785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EAE48C9" w14:textId="25D13171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14,014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F2B398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384A1F0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6.68%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E95DBB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198C" w:rsidRPr="009D198C" w14:paraId="6165F130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693DD89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04AB3D1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853C7EB" w14:textId="0CB67BB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20,238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1294210" w14:textId="5EBD978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59,276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6D8226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CAD756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57EED64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245295E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EE2B2C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79F23FA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D81F4EA" w14:textId="5C88731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101,922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D9D94D7" w14:textId="04D3ED1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298,518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0163E22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FE8018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28E9E1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198C" w:rsidRPr="009D198C" w14:paraId="55A458E8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F4E248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3DB0AF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5402548" w14:textId="7814943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679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8E3118C" w14:textId="66026FF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1,987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4A25124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0B3A451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1.30%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557A734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51959E5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CF3A36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49CFBE0B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1BA84DC" w14:textId="27774F9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20,656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B87D619" w14:textId="451A274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60,499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52D3F5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03E2F62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1.40%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509BC9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198C" w:rsidRPr="009D198C" w14:paraId="01300552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3E8382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2EBE69F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9F3D4B6" w14:textId="21261D9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11,428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A343BDB" w14:textId="0765C1E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33,472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40E9366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DD99C6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2.30%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05327F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198C" w:rsidRPr="009D198C" w14:paraId="5AEB8E6F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2A48DA2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47E6E3D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FBE8461" w14:textId="544DFA6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5,818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AE96F47" w14:textId="78D4BED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17,041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85EE25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B1D0A0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5415946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1DED665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9C40FB1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19ACB3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A722B75" w14:textId="0735E37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5,625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8FA0FBC" w14:textId="5451587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16,475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C3A45E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297DDD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726934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0D866C33" w14:textId="77777777" w:rsidTr="00B233C3">
        <w:trPr>
          <w:trHeight w:hRule="exact" w:val="187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377BACD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EA16A8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1816589" w14:textId="7C08624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4C210918" w14:textId="44C26E3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236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A66ACC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3FFECD3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2D14AEE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32593A09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78F18E4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65ED45D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A9E0F1E" w14:textId="17A31A5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5,498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CB6D7F3" w14:textId="4A061CA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16,102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0D876E4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1F9D798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74BCF3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5A1C9CC7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4144902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39418E1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2F5FE2D" w14:textId="459C509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2,675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5224BFB1" w14:textId="095F2EA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7,836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6DABDB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0AE170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2.25%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1B7900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71C2CAC9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6B76865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52CA5F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CE79BD7" w14:textId="7AD377A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4,594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C528045" w14:textId="146A2D5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13,456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40F7F9A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19F1B0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7FDD8EF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76703D32" w14:textId="77777777" w:rsidTr="00B233C3">
        <w:trPr>
          <w:trHeight w:hRule="exact" w:val="187"/>
        </w:trPr>
        <w:tc>
          <w:tcPr>
            <w:tcW w:w="1660" w:type="pct"/>
            <w:vMerge w:val="restart"/>
            <w:shd w:val="clear" w:color="000000" w:fill="FFFFFF"/>
            <w:vAlign w:val="center"/>
            <w:hideMark/>
          </w:tcPr>
          <w:p w14:paraId="58EA634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14:paraId="32EE6D2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FDF833B" w14:textId="28ED023E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13,708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CBA6280" w14:textId="55D20A2C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40,149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56189E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19F49F7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589565D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1B79B54E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4AE8966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7DFF01F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450BC042" w14:textId="3EB5A729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199,938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EDB8C80" w14:textId="322A7FF0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585,599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7A9F33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DE5B5B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0.42%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078203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9D198C" w:rsidRPr="009D198C" w14:paraId="5DC6BA34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72D2F7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0B824A6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06BFCD0" w14:textId="3F3B3EDA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157,846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9CE6EAC" w14:textId="61BE9D02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462,315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2F789A0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0BA097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0.73%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C09C49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0.015%</w:t>
            </w:r>
          </w:p>
        </w:tc>
      </w:tr>
      <w:tr w:rsidR="009D198C" w:rsidRPr="009D198C" w14:paraId="141C15D2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2BE23A54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20E46F6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6926F72" w14:textId="7F89CF0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49,041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6ACA6EFC" w14:textId="766BEB0D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143,635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73109C1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5F407FB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487037D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198C" w:rsidRPr="009D198C" w14:paraId="257DE85A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147DC86C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387E9460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6B0F091B" w14:textId="2531D27F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4,789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ADD2FAB" w14:textId="59A89AC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14,025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27A8B7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42450DA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1.27%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E28923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0EDB249B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6A478A27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558BE29E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281A92D" w14:textId="7D25B944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5,156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7344251F" w14:textId="08B8528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15,101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851072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78D3F5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1.41%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00C4897D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198C" w:rsidRPr="009D198C" w14:paraId="258EE7AA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0817F786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1A7F8AE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A00E9D2" w14:textId="0D3C1D28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226,246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0016DEF8" w14:textId="2032E9A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662,651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0874785F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+ 0.6%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73A8D0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1C41DB8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198C" w:rsidRPr="009D198C" w14:paraId="56B1BBD6" w14:textId="77777777" w:rsidTr="00B233C3">
        <w:trPr>
          <w:trHeight w:hRule="exact" w:val="187"/>
        </w:trPr>
        <w:tc>
          <w:tcPr>
            <w:tcW w:w="1660" w:type="pct"/>
            <w:vMerge/>
            <w:vAlign w:val="center"/>
            <w:hideMark/>
          </w:tcPr>
          <w:p w14:paraId="765A2BA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14:paraId="7C4905F8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87701BE" w14:textId="45A6088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15,488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288A993C" w14:textId="0EC4A225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45,363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8256A03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+ 1.05%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7E60DF69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6567B5AE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198C" w:rsidRPr="009D198C" w14:paraId="45F577AD" w14:textId="77777777" w:rsidTr="00B233C3">
        <w:trPr>
          <w:trHeight w:hRule="exact" w:val="278"/>
        </w:trPr>
        <w:tc>
          <w:tcPr>
            <w:tcW w:w="1660" w:type="pct"/>
            <w:shd w:val="clear" w:color="000000" w:fill="BFBFBF"/>
            <w:vAlign w:val="center"/>
            <w:hideMark/>
          </w:tcPr>
          <w:p w14:paraId="7B7FE298" w14:textId="77777777" w:rsidR="009D198C" w:rsidRPr="009D198C" w:rsidRDefault="009D198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ფასიანი</w:t>
            </w:r>
            <w:proofErr w:type="spellEnd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368" w:type="pct"/>
            <w:shd w:val="clear" w:color="000000" w:fill="BFBFBF"/>
            <w:vAlign w:val="center"/>
            <w:hideMark/>
          </w:tcPr>
          <w:p w14:paraId="7424E9F6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pct"/>
            <w:shd w:val="clear" w:color="000000" w:fill="BFBFBF"/>
            <w:noWrap/>
            <w:vAlign w:val="center"/>
            <w:hideMark/>
          </w:tcPr>
          <w:p w14:paraId="47306F3D" w14:textId="4B743957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28284E27" w14:textId="5E9B7E70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1,464,450</w:t>
            </w: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2D4B0396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pct"/>
            <w:shd w:val="clear" w:color="000000" w:fill="BFBFBF"/>
            <w:noWrap/>
            <w:vAlign w:val="center"/>
            <w:hideMark/>
          </w:tcPr>
          <w:p w14:paraId="31D56E08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2"/>
            <w:shd w:val="clear" w:color="000000" w:fill="BFBFBF"/>
            <w:noWrap/>
            <w:vAlign w:val="center"/>
            <w:hideMark/>
          </w:tcPr>
          <w:p w14:paraId="63EAE8E5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D198C" w:rsidRPr="009D198C" w14:paraId="31BD673C" w14:textId="77777777" w:rsidTr="00B233C3">
        <w:trPr>
          <w:trHeight w:hRule="exact" w:val="269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74FD038F" w14:textId="5C602ACF" w:rsidR="009D198C" w:rsidRPr="009D198C" w:rsidRDefault="00F8200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a-GE"/>
              </w:rPr>
              <w:t>ევრობონდი</w:t>
            </w:r>
            <w:r w:rsidR="009D198C" w:rsidRPr="009D198C">
              <w:rPr>
                <w:rFonts w:ascii="Calibri" w:hAnsi="Calibri" w:cs="Calibri"/>
                <w:sz w:val="16"/>
                <w:szCs w:val="16"/>
              </w:rPr>
              <w:t xml:space="preserve"> 2021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297E6B6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1EA2766" w14:textId="73A4D6D6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500,000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14:paraId="3EF678FA" w14:textId="54801D13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1,464,450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108BF1A7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63C25D8C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2.750%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328BA172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0.184%</w:t>
            </w:r>
          </w:p>
        </w:tc>
      </w:tr>
      <w:tr w:rsidR="009D198C" w:rsidRPr="009D198C" w14:paraId="1911F6BE" w14:textId="77777777" w:rsidTr="00B233C3">
        <w:trPr>
          <w:trHeight w:hRule="exact" w:val="269"/>
        </w:trPr>
        <w:tc>
          <w:tcPr>
            <w:tcW w:w="1660" w:type="pct"/>
            <w:shd w:val="clear" w:color="000000" w:fill="BFBFBF"/>
            <w:vAlign w:val="center"/>
            <w:hideMark/>
          </w:tcPr>
          <w:p w14:paraId="4A2E33F3" w14:textId="77777777" w:rsidR="009D198C" w:rsidRPr="009D198C" w:rsidRDefault="009D198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368" w:type="pct"/>
            <w:shd w:val="clear" w:color="000000" w:fill="BFBFBF"/>
            <w:vAlign w:val="center"/>
            <w:hideMark/>
          </w:tcPr>
          <w:p w14:paraId="698BD23B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pct"/>
            <w:shd w:val="clear" w:color="000000" w:fill="BFBFBF"/>
            <w:noWrap/>
            <w:vAlign w:val="center"/>
            <w:hideMark/>
          </w:tcPr>
          <w:p w14:paraId="340D2349" w14:textId="57BE3D5F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1,332</w:t>
            </w: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770F790A" w14:textId="564572B7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3,900</w:t>
            </w:r>
          </w:p>
        </w:tc>
        <w:tc>
          <w:tcPr>
            <w:tcW w:w="581" w:type="pct"/>
            <w:shd w:val="clear" w:color="000000" w:fill="BFBFBF"/>
            <w:noWrap/>
            <w:vAlign w:val="center"/>
            <w:hideMark/>
          </w:tcPr>
          <w:p w14:paraId="27A36673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pct"/>
            <w:shd w:val="clear" w:color="000000" w:fill="BFBFBF"/>
            <w:noWrap/>
            <w:vAlign w:val="center"/>
            <w:hideMark/>
          </w:tcPr>
          <w:p w14:paraId="429E2052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2"/>
            <w:shd w:val="clear" w:color="000000" w:fill="BFBFBF"/>
            <w:noWrap/>
            <w:vAlign w:val="center"/>
            <w:hideMark/>
          </w:tcPr>
          <w:p w14:paraId="474ABBC3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D198C" w:rsidRPr="009D198C" w14:paraId="264B945F" w14:textId="77777777" w:rsidTr="00B233C3">
        <w:trPr>
          <w:trHeight w:hRule="exact" w:val="269"/>
        </w:trPr>
        <w:tc>
          <w:tcPr>
            <w:tcW w:w="1660" w:type="pct"/>
            <w:shd w:val="clear" w:color="000000" w:fill="FFFFFF"/>
            <w:vAlign w:val="center"/>
            <w:hideMark/>
          </w:tcPr>
          <w:p w14:paraId="613394C3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9D198C"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 w:rsidRPr="009D198C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12DEF075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DBB7666" w14:textId="05DA086B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1,332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6BB9DBE0" w14:textId="3FD5A427" w:rsidR="009D198C" w:rsidRPr="009D198C" w:rsidRDefault="009D198C" w:rsidP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3,900</w:t>
            </w:r>
          </w:p>
        </w:tc>
        <w:tc>
          <w:tcPr>
            <w:tcW w:w="581" w:type="pct"/>
            <w:shd w:val="clear" w:color="000000" w:fill="FFFFFF"/>
            <w:noWrap/>
            <w:vAlign w:val="center"/>
            <w:hideMark/>
          </w:tcPr>
          <w:p w14:paraId="543522C0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765" w:type="pct"/>
            <w:shd w:val="clear" w:color="000000" w:fill="FFFFFF"/>
            <w:noWrap/>
            <w:vAlign w:val="center"/>
            <w:hideMark/>
          </w:tcPr>
          <w:p w14:paraId="1582FBB1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6" w:type="pct"/>
            <w:gridSpan w:val="2"/>
            <w:shd w:val="clear" w:color="000000" w:fill="FFFFFF"/>
            <w:noWrap/>
            <w:vAlign w:val="center"/>
            <w:hideMark/>
          </w:tcPr>
          <w:p w14:paraId="5CFE63E8" w14:textId="77777777" w:rsidR="009D198C" w:rsidRPr="009D198C" w:rsidRDefault="009D1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198C" w:rsidRPr="009D198C" w14:paraId="26201C51" w14:textId="77777777" w:rsidTr="00B233C3">
        <w:trPr>
          <w:trHeight w:hRule="exact" w:val="359"/>
        </w:trPr>
        <w:tc>
          <w:tcPr>
            <w:tcW w:w="2028" w:type="pct"/>
            <w:gridSpan w:val="2"/>
            <w:shd w:val="clear" w:color="000000" w:fill="FFFFFF"/>
            <w:noWrap/>
            <w:vAlign w:val="center"/>
            <w:hideMark/>
          </w:tcPr>
          <w:p w14:paraId="3C87D93A" w14:textId="77777777" w:rsidR="009D198C" w:rsidRPr="009D198C" w:rsidRDefault="009D198C">
            <w:pPr>
              <w:rPr>
                <w:rFonts w:ascii="Calibri" w:hAnsi="Calibri" w:cs="Calibri"/>
                <w:sz w:val="16"/>
                <w:szCs w:val="16"/>
              </w:rPr>
            </w:pPr>
            <w:r w:rsidRPr="009D198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11" w:type="pct"/>
            <w:gridSpan w:val="5"/>
            <w:shd w:val="clear" w:color="000000" w:fill="F2F2F2"/>
            <w:noWrap/>
            <w:vAlign w:val="center"/>
            <w:hideMark/>
          </w:tcPr>
          <w:p w14:paraId="42A5624F" w14:textId="77777777" w:rsidR="009D198C" w:rsidRPr="009D198C" w:rsidRDefault="009D198C" w:rsidP="009D198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D198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საშუალო</w:t>
            </w:r>
            <w:proofErr w:type="spellEnd"/>
            <w:r w:rsidRPr="009D198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შეწონილი</w:t>
            </w:r>
            <w:proofErr w:type="spellEnd"/>
            <w:r w:rsidRPr="009D198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საპროცენტო</w:t>
            </w:r>
            <w:proofErr w:type="spellEnd"/>
            <w:r w:rsidRPr="009D198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198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461" w:type="pct"/>
            <w:shd w:val="clear" w:color="000000" w:fill="F2F2F2"/>
            <w:noWrap/>
            <w:vAlign w:val="center"/>
            <w:hideMark/>
          </w:tcPr>
          <w:p w14:paraId="5DB93B2D" w14:textId="77777777" w:rsidR="009D198C" w:rsidRPr="009D198C" w:rsidRDefault="009D198C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9D198C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1.21%</w:t>
            </w:r>
          </w:p>
        </w:tc>
      </w:tr>
    </w:tbl>
    <w:p w14:paraId="078466E3" w14:textId="77777777" w:rsidR="002E358C" w:rsidRPr="00B73E97" w:rsidRDefault="002E358C" w:rsidP="009D198C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7D6BBFCB" w14:textId="77777777" w:rsidR="009139F2" w:rsidRPr="00527AC4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1CAD0D7D" w14:textId="42F97D70" w:rsidR="00ED0D9D" w:rsidRPr="000641FD" w:rsidRDefault="000A05E4" w:rsidP="00ED0D9D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27AC4">
        <w:rPr>
          <w:color w:val="auto"/>
          <w:sz w:val="22"/>
          <w:szCs w:val="21"/>
          <w:shd w:val="clear" w:color="auto" w:fill="FFFFFF"/>
          <w:lang w:val="ka-GE"/>
        </w:rPr>
        <w:t>202</w:t>
      </w:r>
      <w:r w:rsidR="00C70518" w:rsidRPr="00527AC4">
        <w:rPr>
          <w:color w:val="auto"/>
          <w:sz w:val="22"/>
          <w:szCs w:val="21"/>
          <w:shd w:val="clear" w:color="auto" w:fill="FFFFFF"/>
          <w:lang w:val="ka-GE"/>
        </w:rPr>
        <w:t>2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ბიუჯეტის </w:t>
      </w:r>
      <w:r w:rsidR="00396279">
        <w:rPr>
          <w:color w:val="auto"/>
          <w:sz w:val="22"/>
          <w:szCs w:val="21"/>
          <w:shd w:val="clear" w:color="auto" w:fill="FFFFFF"/>
          <w:lang w:val="ka-GE"/>
        </w:rPr>
        <w:t xml:space="preserve">ცვლილების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5708BF">
        <w:rPr>
          <w:color w:val="auto"/>
          <w:sz w:val="22"/>
          <w:szCs w:val="21"/>
          <w:lang w:val="ka-GE"/>
        </w:rPr>
        <w:t xml:space="preserve">საინვესტიციო </w:t>
      </w:r>
      <w:r w:rsidRPr="004C26AE">
        <w:rPr>
          <w:color w:val="auto"/>
          <w:sz w:val="22"/>
          <w:szCs w:val="21"/>
          <w:lang w:val="ka-GE"/>
        </w:rPr>
        <w:t xml:space="preserve">კრედიტების ათვისებას </w:t>
      </w:r>
      <w:r w:rsidR="00C70518" w:rsidRPr="004C26AE">
        <w:rPr>
          <w:color w:val="auto"/>
          <w:sz w:val="22"/>
          <w:szCs w:val="21"/>
          <w:lang w:val="ka-GE"/>
        </w:rPr>
        <w:t xml:space="preserve">1 </w:t>
      </w:r>
      <w:r w:rsidR="00955981">
        <w:rPr>
          <w:color w:val="auto"/>
          <w:sz w:val="22"/>
          <w:szCs w:val="21"/>
          <w:lang w:val="ka-GE"/>
        </w:rPr>
        <w:t>541</w:t>
      </w:r>
      <w:r w:rsidR="00E844CA" w:rsidRPr="004C26AE">
        <w:rPr>
          <w:color w:val="auto"/>
          <w:sz w:val="22"/>
          <w:szCs w:val="21"/>
          <w:lang w:val="ka-GE"/>
        </w:rPr>
        <w:t xml:space="preserve"> </w:t>
      </w:r>
      <w:r w:rsidR="00955981">
        <w:rPr>
          <w:color w:val="auto"/>
          <w:sz w:val="22"/>
          <w:szCs w:val="21"/>
          <w:lang w:val="ka-GE"/>
        </w:rPr>
        <w:t>637</w:t>
      </w:r>
      <w:r w:rsidR="00C70518" w:rsidRPr="004C26AE">
        <w:rPr>
          <w:color w:val="auto"/>
          <w:sz w:val="22"/>
          <w:szCs w:val="21"/>
          <w:lang w:val="ka-GE"/>
        </w:rPr>
        <w:t>.0</w:t>
      </w:r>
      <w:r w:rsidRPr="004C26AE">
        <w:rPr>
          <w:color w:val="auto"/>
          <w:sz w:val="22"/>
          <w:szCs w:val="21"/>
          <w:lang w:val="ka-GE"/>
        </w:rPr>
        <w:t xml:space="preserve"> ათასი</w:t>
      </w:r>
      <w:r w:rsidRPr="004C26AE">
        <w:rPr>
          <w:color w:val="auto"/>
          <w:sz w:val="22"/>
          <w:szCs w:val="21"/>
          <w:shd w:val="clear" w:color="auto" w:fill="FFFFFF"/>
          <w:lang w:val="ka-GE"/>
        </w:rPr>
        <w:t xml:space="preserve"> ლარის</w:t>
      </w:r>
      <w:r w:rsidRPr="000641FD">
        <w:rPr>
          <w:color w:val="auto"/>
          <w:sz w:val="22"/>
          <w:szCs w:val="21"/>
          <w:shd w:val="clear" w:color="auto" w:fill="FFFFFF"/>
          <w:lang w:val="ka-GE"/>
        </w:rPr>
        <w:t xml:space="preserve"> ოდენობით. </w:t>
      </w:r>
    </w:p>
    <w:p w14:paraId="29A9CAD4" w14:textId="35EB3347" w:rsidR="00A405DB" w:rsidRPr="000641FD" w:rsidRDefault="002A0BB1" w:rsidP="00ED0D9D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0641FD">
        <w:rPr>
          <w:color w:val="auto"/>
          <w:sz w:val="22"/>
          <w:szCs w:val="21"/>
          <w:shd w:val="clear" w:color="auto" w:fill="FFFFFF"/>
          <w:lang w:val="ka-GE"/>
        </w:rPr>
        <w:t>ასევე,</w:t>
      </w:r>
      <w:r w:rsidR="000A05E4" w:rsidRPr="000641FD">
        <w:rPr>
          <w:color w:val="auto"/>
          <w:sz w:val="22"/>
          <w:szCs w:val="21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0641FD">
        <w:rPr>
          <w:color w:val="auto"/>
          <w:sz w:val="22"/>
          <w:szCs w:val="21"/>
          <w:shd w:val="clear" w:color="auto" w:fill="FFFFFF"/>
          <w:lang w:val="ka-GE"/>
        </w:rPr>
        <w:t xml:space="preserve"> თანხების მობილიზებას</w:t>
      </w:r>
      <w:r w:rsidR="00C70518" w:rsidRPr="000641FD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396279" w:rsidRPr="000641FD">
        <w:rPr>
          <w:color w:val="auto"/>
          <w:sz w:val="22"/>
          <w:szCs w:val="21"/>
          <w:shd w:val="clear" w:color="auto" w:fill="FFFFFF"/>
          <w:lang w:val="ka-GE"/>
        </w:rPr>
        <w:t>8</w:t>
      </w:r>
      <w:r w:rsidR="00C70518" w:rsidRPr="000641FD">
        <w:rPr>
          <w:color w:val="auto"/>
          <w:sz w:val="22"/>
          <w:szCs w:val="21"/>
          <w:shd w:val="clear" w:color="auto" w:fill="FFFFFF"/>
          <w:lang w:val="ka-GE"/>
        </w:rPr>
        <w:t>00</w:t>
      </w:r>
      <w:r w:rsidRPr="000641FD">
        <w:rPr>
          <w:color w:val="auto"/>
          <w:sz w:val="22"/>
          <w:szCs w:val="21"/>
          <w:shd w:val="clear" w:color="auto" w:fill="FFFFFF"/>
          <w:lang w:val="ka-GE"/>
        </w:rPr>
        <w:t xml:space="preserve"> 000.0 </w:t>
      </w:r>
      <w:r w:rsidR="002D596E" w:rsidRPr="000641FD">
        <w:rPr>
          <w:color w:val="auto"/>
          <w:sz w:val="22"/>
          <w:szCs w:val="21"/>
          <w:shd w:val="clear" w:color="auto" w:fill="FFFFFF"/>
          <w:lang w:val="ka-GE"/>
        </w:rPr>
        <w:t xml:space="preserve">ათასი </w:t>
      </w:r>
      <w:r w:rsidRPr="000641FD">
        <w:rPr>
          <w:color w:val="auto"/>
          <w:sz w:val="22"/>
          <w:szCs w:val="21"/>
          <w:shd w:val="clear" w:color="auto" w:fill="FFFFFF"/>
          <w:lang w:val="ka-GE"/>
        </w:rPr>
        <w:t>ლარის მობილიზებას</w:t>
      </w:r>
      <w:r w:rsidR="00A405DB" w:rsidRPr="000641FD">
        <w:rPr>
          <w:color w:val="auto"/>
          <w:sz w:val="22"/>
          <w:szCs w:val="21"/>
          <w:shd w:val="clear" w:color="auto" w:fill="FFFFFF"/>
          <w:lang w:val="ka-GE"/>
        </w:rPr>
        <w:t>:</w:t>
      </w:r>
    </w:p>
    <w:p w14:paraId="4CE8665B" w14:textId="456E54B6" w:rsidR="00ED0D9D" w:rsidRPr="000641FD" w:rsidRDefault="00ED0D9D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0641FD">
        <w:rPr>
          <w:rFonts w:ascii="Sylfaen" w:eastAsia="Sylfaen" w:hAnsi="Sylfaen" w:cs="Sylfaen"/>
          <w:color w:val="000000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</w:t>
      </w:r>
      <w:r w:rsidRPr="000641FD">
        <w:rPr>
          <w:rFonts w:ascii="Sylfaen" w:eastAsia="Sylfaen" w:hAnsi="Sylfaen" w:cs="Sylfaen"/>
          <w:color w:val="000000"/>
        </w:rPr>
        <w:t>286</w:t>
      </w:r>
      <w:r w:rsidR="000641FD" w:rsidRPr="000641FD">
        <w:rPr>
          <w:rFonts w:ascii="Sylfaen" w:eastAsia="Sylfaen" w:hAnsi="Sylfaen" w:cs="Sylfaen"/>
          <w:color w:val="000000"/>
          <w:lang w:val="ka-GE"/>
        </w:rPr>
        <w:t xml:space="preserve"> </w:t>
      </w:r>
      <w:r w:rsidRPr="000641FD">
        <w:rPr>
          <w:rFonts w:ascii="Sylfaen" w:eastAsia="Sylfaen" w:hAnsi="Sylfaen" w:cs="Sylfaen"/>
          <w:color w:val="000000"/>
          <w:lang w:val="ka-GE"/>
        </w:rPr>
        <w:t xml:space="preserve">000.00 ათასი ლარის ოდენობით;   </w:t>
      </w:r>
    </w:p>
    <w:p w14:paraId="473FC721" w14:textId="33500CFE" w:rsidR="00ED0D9D" w:rsidRPr="000641FD" w:rsidRDefault="00ED0D9D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0641FD">
        <w:rPr>
          <w:rFonts w:ascii="Sylfaen" w:eastAsia="Sylfaen" w:hAnsi="Sylfaen" w:cs="Sylfaen"/>
          <w:color w:val="000000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- 15</w:t>
      </w:r>
      <w:r w:rsidRPr="000641FD">
        <w:rPr>
          <w:rFonts w:ascii="Sylfaen" w:eastAsia="Sylfaen" w:hAnsi="Sylfaen" w:cs="Sylfaen"/>
          <w:color w:val="000000"/>
        </w:rPr>
        <w:t>5</w:t>
      </w:r>
      <w:r w:rsidRPr="000641FD">
        <w:rPr>
          <w:rFonts w:ascii="Sylfaen" w:eastAsia="Sylfaen" w:hAnsi="Sylfaen" w:cs="Sylfaen"/>
          <w:color w:val="000000"/>
          <w:lang w:val="ka-GE"/>
        </w:rPr>
        <w:t xml:space="preserve"> </w:t>
      </w:r>
      <w:r w:rsidRPr="000641FD">
        <w:rPr>
          <w:rFonts w:ascii="Sylfaen" w:eastAsia="Sylfaen" w:hAnsi="Sylfaen" w:cs="Sylfaen"/>
          <w:color w:val="000000"/>
        </w:rPr>
        <w:t>54</w:t>
      </w:r>
      <w:r w:rsidRPr="000641FD">
        <w:rPr>
          <w:rFonts w:ascii="Sylfaen" w:eastAsia="Sylfaen" w:hAnsi="Sylfaen" w:cs="Sylfaen"/>
          <w:color w:val="000000"/>
          <w:lang w:val="ka-GE"/>
        </w:rPr>
        <w:t>0.00  ათასი ლარის ოდენობით;</w:t>
      </w:r>
    </w:p>
    <w:p w14:paraId="24A49E7D" w14:textId="626073F0" w:rsidR="00ED0D9D" w:rsidRPr="000641FD" w:rsidRDefault="00ED0D9D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0641FD">
        <w:rPr>
          <w:rFonts w:ascii="Sylfaen" w:eastAsia="Sylfaen" w:hAnsi="Sylfaen" w:cs="Sylfaen"/>
          <w:color w:val="000000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საფრანგეთის განვითარების სააგენტოდან (AFD) მისაღები სახსრები - 92 775.00  ათასი ლარის ოდენობით; (ADB-ს II ტრანშის თანადაფინანსება).</w:t>
      </w:r>
    </w:p>
    <w:p w14:paraId="500065FC" w14:textId="570343E2" w:rsidR="00ED0D9D" w:rsidRPr="000641FD" w:rsidRDefault="00ED0D9D" w:rsidP="00ED0D9D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lang w:val="ka-GE"/>
        </w:rPr>
      </w:pPr>
      <w:r w:rsidRPr="000641FD">
        <w:rPr>
          <w:rFonts w:ascii="Sylfaen" w:eastAsia="Sylfaen" w:hAnsi="Sylfaen" w:cs="Sylfaen"/>
          <w:color w:val="000000"/>
          <w:lang w:val="ka-GE"/>
        </w:rPr>
        <w:lastRenderedPageBreak/>
        <w:t>ენერგეტიკის</w:t>
      </w:r>
      <w:r w:rsidRPr="000641FD">
        <w:rPr>
          <w:rFonts w:ascii="Sylfaen" w:eastAsia="Sylfaen" w:hAnsi="Sylfaen" w:cs="Sylfaen"/>
          <w:color w:val="000000"/>
        </w:rPr>
        <w:t xml:space="preserve"> </w:t>
      </w:r>
      <w:r w:rsidRPr="000641FD">
        <w:rPr>
          <w:rFonts w:ascii="Sylfaen" w:eastAsia="Sylfaen" w:hAnsi="Sylfaen" w:cs="Sylfaen"/>
          <w:color w:val="000000"/>
          <w:lang w:val="ka-GE"/>
        </w:rPr>
        <w:t>საქართველოში  სექტორის რეფორმის პროგრამა</w:t>
      </w:r>
      <w:r w:rsidRPr="000641FD">
        <w:rPr>
          <w:rFonts w:ascii="Sylfaen" w:eastAsia="Sylfaen" w:hAnsi="Sylfaen" w:cs="Sylfaen"/>
          <w:color w:val="000000"/>
        </w:rPr>
        <w:t xml:space="preserve"> </w:t>
      </w:r>
      <w:r w:rsidRPr="000641FD">
        <w:rPr>
          <w:rFonts w:ascii="Sylfaen" w:eastAsia="Sylfaen" w:hAnsi="Sylfaen" w:cs="Sylfaen"/>
          <w:color w:val="000000"/>
          <w:lang w:val="ka-GE"/>
        </w:rPr>
        <w:t>(AFD)-</w:t>
      </w:r>
      <w:r w:rsidRPr="000641FD">
        <w:rPr>
          <w:rFonts w:ascii="Sylfaen" w:eastAsia="Sylfaen" w:hAnsi="Sylfaen" w:cs="Sylfaen"/>
          <w:color w:val="000000"/>
        </w:rPr>
        <w:t>5</w:t>
      </w:r>
      <w:r w:rsidRPr="000641FD">
        <w:rPr>
          <w:rFonts w:ascii="Sylfaen" w:eastAsia="Sylfaen" w:hAnsi="Sylfaen" w:cs="Sylfaen"/>
          <w:color w:val="000000"/>
          <w:lang w:val="ka-GE"/>
        </w:rPr>
        <w:t xml:space="preserve">-ის  ფარგლებში საფრანგეთის განვითარების სააგენტოდან (AFD) მისაღები სახსრები – 173 330.00 ათასი ლარის ოდენობით; </w:t>
      </w:r>
    </w:p>
    <w:p w14:paraId="6C002010" w14:textId="620F4F2A" w:rsidR="00ED0D9D" w:rsidRPr="000641FD" w:rsidRDefault="00ED0D9D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0641FD">
        <w:rPr>
          <w:rFonts w:ascii="Sylfaen" w:eastAsia="Sylfaen" w:hAnsi="Sylfaen" w:cs="Sylfaen"/>
          <w:color w:val="000000"/>
          <w:lang w:val="ka-GE"/>
        </w:rPr>
        <w:t>ეკონომიკის სტაბილიზაცია ენერგეტიკის სექტორის რეფორმის მხარდაჭერით</w:t>
      </w:r>
      <w:r w:rsidR="00F4615E">
        <w:rPr>
          <w:rFonts w:ascii="Sylfaen" w:eastAsia="Sylfaen" w:hAnsi="Sylfaen" w:cs="Sylfaen"/>
          <w:color w:val="000000"/>
          <w:lang w:val="ka-GE"/>
        </w:rPr>
        <w:t xml:space="preserve">                  </w:t>
      </w:r>
      <w:r w:rsidRPr="000641FD">
        <w:rPr>
          <w:rFonts w:ascii="Sylfaen" w:eastAsia="Sylfaen" w:hAnsi="Sylfaen" w:cs="Sylfaen"/>
          <w:color w:val="00000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615E">
        <w:rPr>
          <w:rFonts w:ascii="Sylfaen" w:eastAsia="Sylfaen" w:hAnsi="Sylfaen" w:cs="Sylfaen"/>
          <w:color w:val="000000"/>
          <w:lang w:val="ka-GE"/>
        </w:rPr>
        <w:t>(</w:t>
      </w:r>
      <w:bookmarkStart w:id="0" w:name="_GoBack"/>
      <w:bookmarkEnd w:id="0"/>
      <w:r w:rsidRPr="000641FD">
        <w:rPr>
          <w:rFonts w:ascii="Sylfaen" w:eastAsia="Sylfaen" w:hAnsi="Sylfaen" w:cs="Sylfaen"/>
          <w:color w:val="000000"/>
          <w:lang w:val="ka-GE"/>
        </w:rPr>
        <w:t xml:space="preserve">PBL) V ფარგლებში გერმანიის საკრედიტო ბანკიდან (KfW) მისაღები სახსრები – 80 000.00 ათასი ლარის ოდენობით; </w:t>
      </w:r>
    </w:p>
    <w:p w14:paraId="60DD456C" w14:textId="480D4173" w:rsidR="00ED0D9D" w:rsidRPr="000641FD" w:rsidRDefault="00ED0D9D" w:rsidP="00ED0D9D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lang w:val="ka-GE"/>
        </w:rPr>
      </w:pPr>
      <w:r w:rsidRPr="000641FD">
        <w:rPr>
          <w:rFonts w:ascii="Sylfaen" w:eastAsia="Sylfaen" w:hAnsi="Sylfaen" w:cs="Sylfaen"/>
          <w:color w:val="000000"/>
          <w:lang w:val="ka-GE"/>
        </w:rPr>
        <w:t>COVID-19-ის წინააღმდეგ სწრაფი რეაგირების პროექტი</w:t>
      </w:r>
      <w:r w:rsidR="000061F6">
        <w:rPr>
          <w:rFonts w:ascii="Sylfaen" w:eastAsia="Sylfaen" w:hAnsi="Sylfaen" w:cs="Sylfaen"/>
          <w:color w:val="000000"/>
          <w:lang w:val="ka-GE"/>
        </w:rPr>
        <w:t>ს</w:t>
      </w:r>
      <w:r w:rsidRPr="000641FD">
        <w:rPr>
          <w:rFonts w:ascii="Sylfaen" w:eastAsia="Sylfaen" w:hAnsi="Sylfaen" w:cs="Sylfaen"/>
          <w:color w:val="000000"/>
          <w:lang w:val="ka-GE"/>
        </w:rPr>
        <w:t xml:space="preserve"> ფარ</w:t>
      </w:r>
      <w:r w:rsidR="000061F6">
        <w:rPr>
          <w:rFonts w:ascii="Sylfaen" w:eastAsia="Sylfaen" w:hAnsi="Sylfaen" w:cs="Sylfaen"/>
          <w:color w:val="000000"/>
          <w:lang w:val="ka-GE"/>
        </w:rPr>
        <w:t>გ</w:t>
      </w:r>
      <w:r w:rsidRPr="000641FD">
        <w:rPr>
          <w:rFonts w:ascii="Sylfaen" w:eastAsia="Sylfaen" w:hAnsi="Sylfaen" w:cs="Sylfaen"/>
          <w:color w:val="000000"/>
          <w:lang w:val="ka-GE"/>
        </w:rPr>
        <w:t>ლებში აზიის ინფრასტრუქტურის საინვესტიციო ბანკიდან (</w:t>
      </w:r>
      <w:r w:rsidRPr="000641FD">
        <w:rPr>
          <w:rFonts w:ascii="Sylfaen" w:eastAsia="Sylfaen" w:hAnsi="Sylfaen" w:cs="Sylfaen"/>
          <w:color w:val="000000"/>
        </w:rPr>
        <w:t xml:space="preserve">AIIB) </w:t>
      </w:r>
      <w:r w:rsidRPr="000641FD">
        <w:rPr>
          <w:rFonts w:ascii="Sylfaen" w:eastAsia="Sylfaen" w:hAnsi="Sylfaen" w:cs="Sylfaen"/>
          <w:color w:val="000000"/>
          <w:lang w:val="ka-GE"/>
        </w:rPr>
        <w:t>მისაღები სახსრები - 12 355.00 ათასი ლარის ოდენობით;</w:t>
      </w:r>
    </w:p>
    <w:p w14:paraId="508D1B6F" w14:textId="77777777" w:rsidR="005708BF" w:rsidRPr="005708BF" w:rsidRDefault="005708BF" w:rsidP="005708BF">
      <w:pPr>
        <w:pStyle w:val="Normal22"/>
        <w:spacing w:after="0" w:line="240" w:lineRule="auto"/>
        <w:jc w:val="both"/>
        <w:rPr>
          <w:rFonts w:ascii="Sylfaen" w:eastAsia="Sylfaen" w:hAnsi="Sylfaen" w:cs="Sylfaen"/>
          <w:color w:val="000000"/>
          <w:lang w:val="ka-GE"/>
        </w:rPr>
      </w:pPr>
    </w:p>
    <w:p w14:paraId="506259C6" w14:textId="24A44A22" w:rsidR="00C0485E" w:rsidRPr="00C0792E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C70518" w:rsidRPr="00C0792E">
        <w:rPr>
          <w:rFonts w:ascii="Sylfaen" w:hAnsi="Sylfaen" w:cs="Sylfaen"/>
          <w:szCs w:val="21"/>
          <w:shd w:val="clear" w:color="auto" w:fill="FFFFFF"/>
        </w:rPr>
        <w:t>2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</w:t>
      </w:r>
      <w:r w:rsidR="00396279"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ცვლილების 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>პროექტით გათვალისწინებულია</w:t>
      </w:r>
      <w:r w:rsidRPr="00C0792E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C0792E">
        <w:rPr>
          <w:rFonts w:ascii="Sylfaen" w:hAnsi="Sylfaen" w:cs="Sylfaen"/>
          <w:szCs w:val="21"/>
          <w:shd w:val="clear" w:color="auto" w:fill="FFFFFF"/>
        </w:rPr>
        <w:t>1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279" w:rsidRPr="00C0792E">
        <w:rPr>
          <w:rFonts w:ascii="Sylfaen" w:hAnsi="Sylfaen" w:cs="Sylfaen"/>
          <w:szCs w:val="21"/>
          <w:shd w:val="clear" w:color="auto" w:fill="FFFFFF"/>
          <w:lang w:val="ka-GE"/>
        </w:rPr>
        <w:t>270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C0792E">
        <w:rPr>
          <w:rFonts w:ascii="Sylfaen" w:hAnsi="Sylfaen" w:cs="Sylfaen"/>
          <w:szCs w:val="21"/>
          <w:shd w:val="clear" w:color="auto" w:fill="FFFFFF"/>
        </w:rPr>
        <w:t>0</w:t>
      </w:r>
      <w:r w:rsidRPr="00C0792E">
        <w:rPr>
          <w:rFonts w:ascii="Sylfaen" w:hAnsi="Sylfaen" w:cs="Sylfaen"/>
          <w:szCs w:val="21"/>
          <w:shd w:val="clear" w:color="auto" w:fill="FFFFFF"/>
        </w:rPr>
        <w:t>00</w:t>
      </w:r>
      <w:r w:rsidR="00C70518" w:rsidRPr="00C0792E">
        <w:rPr>
          <w:rFonts w:ascii="Sylfaen" w:hAnsi="Sylfaen" w:cs="Sylfaen"/>
          <w:szCs w:val="21"/>
          <w:shd w:val="clear" w:color="auto" w:fill="FFFFFF"/>
          <w:lang w:val="ka-GE"/>
        </w:rPr>
        <w:t>.0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</w:t>
      </w:r>
      <w:proofErr w:type="spellStart"/>
      <w:r w:rsidRPr="00C0792E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C0792E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C0792E">
        <w:rPr>
          <w:rFonts w:ascii="Sylfaen" w:hAnsi="Sylfaen" w:cs="Sylfaen"/>
          <w:szCs w:val="21"/>
          <w:shd w:val="clear" w:color="auto" w:fill="FFFFFF"/>
        </w:rPr>
        <w:t xml:space="preserve">1 </w:t>
      </w:r>
      <w:r w:rsidR="00396279" w:rsidRPr="00C0792E">
        <w:rPr>
          <w:rFonts w:ascii="Sylfaen" w:hAnsi="Sylfaen" w:cs="Sylfaen"/>
          <w:szCs w:val="21"/>
          <w:shd w:val="clear" w:color="auto" w:fill="FFFFFF"/>
          <w:lang w:val="ka-GE"/>
        </w:rPr>
        <w:t>040</w:t>
      </w:r>
      <w:r w:rsidR="00C70518" w:rsidRPr="00C0792E">
        <w:rPr>
          <w:rFonts w:ascii="Sylfaen" w:hAnsi="Sylfaen" w:cs="Sylfaen"/>
          <w:szCs w:val="21"/>
          <w:shd w:val="clear" w:color="auto" w:fill="FFFFFF"/>
        </w:rPr>
        <w:t xml:space="preserve"> 000.0</w:t>
      </w:r>
      <w:r w:rsidR="00C70518" w:rsidRPr="00C0792E">
        <w:rPr>
          <w:szCs w:val="24"/>
        </w:rPr>
        <w:t xml:space="preserve"> 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C0792E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C0792E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65673F" w:rsidRPr="00C0792E">
        <w:rPr>
          <w:rFonts w:ascii="Sylfaen" w:hAnsi="Sylfaen" w:cs="Sylfaen"/>
          <w:szCs w:val="21"/>
          <w:shd w:val="clear" w:color="auto" w:fill="FFFFFF"/>
        </w:rPr>
        <w:t>2</w:t>
      </w:r>
      <w:r w:rsidR="00396279" w:rsidRPr="00C0792E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C70518" w:rsidRPr="00C0792E">
        <w:rPr>
          <w:rFonts w:ascii="Sylfaen" w:hAnsi="Sylfaen" w:cs="Sylfaen"/>
          <w:szCs w:val="21"/>
          <w:shd w:val="clear" w:color="auto" w:fill="FFFFFF"/>
        </w:rPr>
        <w:t xml:space="preserve">0 000.0 </w:t>
      </w:r>
      <w:proofErr w:type="spellStart"/>
      <w:r w:rsidRPr="00C0792E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14:paraId="681AE2B6" w14:textId="77777777" w:rsidR="00A67E3A" w:rsidRPr="00C0792E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C079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C0792E">
        <w:rPr>
          <w:rFonts w:ascii="Sylfaen" w:hAnsi="Sylfaen"/>
          <w:b/>
          <w:sz w:val="20"/>
          <w:szCs w:val="20"/>
          <w:lang w:val="ka-GE"/>
        </w:rPr>
        <w:t>202</w:t>
      </w:r>
      <w:r w:rsidR="00C70518" w:rsidRPr="00C0792E">
        <w:rPr>
          <w:rFonts w:ascii="Sylfaen" w:hAnsi="Sylfaen"/>
          <w:b/>
          <w:sz w:val="20"/>
          <w:szCs w:val="20"/>
        </w:rPr>
        <w:t>2</w:t>
      </w:r>
      <w:r w:rsidR="006D20E2" w:rsidRPr="00C0792E">
        <w:rPr>
          <w:rFonts w:ascii="Sylfaen" w:hAnsi="Sylfaen"/>
          <w:b/>
          <w:sz w:val="20"/>
          <w:szCs w:val="20"/>
        </w:rPr>
        <w:t xml:space="preserve"> </w:t>
      </w:r>
      <w:r w:rsidRPr="00C0792E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6A783B87" w14:textId="6E6AF4A2" w:rsidR="00FB01F8" w:rsidRPr="00C0792E" w:rsidRDefault="00C0792E" w:rsidP="00F46408">
      <w:pPr>
        <w:tabs>
          <w:tab w:val="left" w:pos="0"/>
        </w:tabs>
        <w:spacing w:after="0" w:line="240" w:lineRule="auto"/>
        <w:ind w:right="63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</w:t>
      </w:r>
      <w:r w:rsidR="00FB01F8" w:rsidRPr="00C0792E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8"/>
        <w:gridCol w:w="2033"/>
        <w:gridCol w:w="1577"/>
        <w:gridCol w:w="2225"/>
      </w:tblGrid>
      <w:tr w:rsidR="00DC574F" w:rsidRPr="00C0792E" w14:paraId="432305DB" w14:textId="77777777" w:rsidTr="0040412C">
        <w:trPr>
          <w:trHeight w:hRule="exact" w:val="584"/>
          <w:tblHeader/>
          <w:jc w:val="center"/>
        </w:trPr>
        <w:tc>
          <w:tcPr>
            <w:tcW w:w="2092" w:type="pct"/>
            <w:shd w:val="clear" w:color="auto" w:fill="auto"/>
            <w:vAlign w:val="center"/>
            <w:hideMark/>
          </w:tcPr>
          <w:p w14:paraId="21909AF6" w14:textId="77777777" w:rsidR="00DC574F" w:rsidRPr="00C0792E" w:rsidRDefault="00DC574F" w:rsidP="003C38B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3959EF1" w14:textId="77777777" w:rsidR="00DC574F" w:rsidRPr="00C0792E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5DFF59A4" w14:textId="77777777" w:rsidR="00DC574F" w:rsidRPr="00C0792E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109" w:type="pct"/>
            <w:shd w:val="clear" w:color="auto" w:fill="auto"/>
            <w:vAlign w:val="center"/>
            <w:hideMark/>
          </w:tcPr>
          <w:p w14:paraId="281EDD78" w14:textId="77777777" w:rsidR="00DC574F" w:rsidRPr="00C0792E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სულ</w:t>
            </w:r>
            <w:proofErr w:type="spellEnd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2022</w:t>
            </w:r>
          </w:p>
        </w:tc>
      </w:tr>
      <w:tr w:rsidR="00DC574F" w:rsidRPr="00437E68" w14:paraId="6AA4EC74" w14:textId="77777777" w:rsidTr="0040412C">
        <w:trPr>
          <w:trHeight w:hRule="exact" w:val="44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31A4846B" w14:textId="77777777" w:rsidR="00DC574F" w:rsidRPr="00C0792E" w:rsidRDefault="00DC574F" w:rsidP="0044055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r w:rsidRPr="00C0792E">
              <w:rPr>
                <w:rFonts w:ascii="Sylfaen" w:eastAsia="Times New Roman" w:hAnsi="Sylfaen" w:cstheme="minorHAnsi"/>
                <w:sz w:val="20"/>
                <w:szCs w:val="20"/>
              </w:rPr>
              <w:t> </w:t>
            </w:r>
            <w:proofErr w:type="spellStart"/>
            <w:r w:rsidR="0044055F" w:rsidRPr="00C0792E">
              <w:rPr>
                <w:rFonts w:ascii="Sylfaen" w:eastAsia="Times New Roman" w:hAnsi="Sylfaen" w:cstheme="minorHAnsi"/>
                <w:b/>
                <w:sz w:val="20"/>
                <w:szCs w:val="20"/>
              </w:rPr>
              <w:t>სულ</w:t>
            </w:r>
            <w:proofErr w:type="spellEnd"/>
            <w:r w:rsidR="0044055F" w:rsidRPr="00C0792E">
              <w:rPr>
                <w:rFonts w:ascii="Sylfaen" w:eastAsia="Times New Roman" w:hAnsi="Sylfaen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14:paraId="0F78B8E4" w14:textId="3B3D8791" w:rsidR="00DC574F" w:rsidRPr="00C0792E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</w:t>
            </w:r>
            <w:r w:rsidR="00C0792E"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040</w:t>
            </w:r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2559C943" w14:textId="6EDF8953" w:rsidR="00DC574F" w:rsidRPr="00C0792E" w:rsidRDefault="00C0792E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230</w:t>
            </w:r>
            <w:r w:rsidR="00DC574F"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008ADF4B" w14:textId="7C07FF45" w:rsidR="00DC574F" w:rsidRPr="0040412C" w:rsidRDefault="0065673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</w:t>
            </w:r>
            <w:r w:rsidR="00C0792E"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270</w:t>
            </w:r>
            <w:r w:rsidR="00DC574F"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E829E7" w:rsidRPr="00437E68" w14:paraId="65A8085F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540FFE6C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4A06A34" w14:textId="63F0D74A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3,600.0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1916EEC3" w14:textId="34453C3A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440.0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1FD26637" w14:textId="108B95CB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4,040.0</w:t>
            </w:r>
          </w:p>
        </w:tc>
      </w:tr>
      <w:tr w:rsidR="00E829E7" w:rsidRPr="00437E68" w14:paraId="578C7A30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7A560DC8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525BB9BA" w14:textId="1742ED4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2,700.0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23F0E904" w14:textId="432CAC7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950.0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C280D20" w14:textId="6764B9B2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3,650.0</w:t>
            </w:r>
          </w:p>
        </w:tc>
      </w:tr>
      <w:tr w:rsidR="00E829E7" w:rsidRPr="00437E68" w14:paraId="15FE57ED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43385D20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64597EB9" w14:textId="6C936149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20,300.0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585F60D6" w14:textId="6B733F1C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3,860.0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5E12E594" w14:textId="70392777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24,160.0</w:t>
            </w:r>
          </w:p>
        </w:tc>
      </w:tr>
      <w:tr w:rsidR="00E829E7" w:rsidRPr="00437E68" w14:paraId="769B6F64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597FEDEC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BD753DF" w14:textId="7090D462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155,100.0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2EB96363" w14:textId="0678055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22,398.0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19268A7C" w14:textId="09B8CAB4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177,498.0</w:t>
            </w:r>
          </w:p>
        </w:tc>
      </w:tr>
      <w:tr w:rsidR="00E829E7" w:rsidRPr="00437E68" w14:paraId="1FCF4842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440D3FF2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აშშ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4B5B010D" w14:textId="210D6FAF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D443D44" w14:textId="735DD0A9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860.0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3DEF48F9" w14:textId="2FB6F509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7,960.0</w:t>
            </w:r>
          </w:p>
        </w:tc>
      </w:tr>
      <w:tr w:rsidR="00E829E7" w:rsidRPr="00437E68" w14:paraId="552259CA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E13D09C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936D933" w14:textId="5FE2A16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2,500.0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18373BFE" w14:textId="3B4ECA49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320.0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1A05372C" w14:textId="6CF8D43F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2,820.0</w:t>
            </w:r>
          </w:p>
        </w:tc>
      </w:tr>
      <w:tr w:rsidR="00E829E7" w:rsidRPr="00437E68" w14:paraId="2B1F05DA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21DB8D2D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7EC3B54F" w14:textId="34B7DDEF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2,900.0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350FA038" w14:textId="3967C002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33825C63" w14:textId="4F4CE8A1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3,250.0</w:t>
            </w:r>
          </w:p>
        </w:tc>
      </w:tr>
      <w:tr w:rsidR="00E829E7" w:rsidRPr="00437E68" w14:paraId="788D6720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0304566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36E345A7" w14:textId="18DDF037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7F3EB36" w14:textId="7E44B36C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739364C2" w14:textId="320E60EB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2,360.0</w:t>
            </w:r>
          </w:p>
        </w:tc>
      </w:tr>
      <w:tr w:rsidR="00E829E7" w:rsidRPr="00437E68" w14:paraId="0442852E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3BA322E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7923FCC7" w14:textId="24664264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4A557F9" w14:textId="64CA2C61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520.0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062CEB10" w14:textId="42B0341B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3,620.0</w:t>
            </w:r>
          </w:p>
        </w:tc>
      </w:tr>
      <w:tr w:rsidR="00E829E7" w:rsidRPr="00437E68" w14:paraId="503C9D6B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06FBEA50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958C62C" w14:textId="32318966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62.0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2DB747EC" w14:textId="51D3A101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12.0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B4EFC94" w14:textId="782D4D0F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74.0</w:t>
            </w:r>
          </w:p>
        </w:tc>
      </w:tr>
      <w:tr w:rsidR="00E829E7" w:rsidRPr="00437E68" w14:paraId="69C65AFB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40700230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2410CFFE" w14:textId="74B621ED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10,000.0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340813F9" w14:textId="687C2F68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1,750.0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34F302FC" w14:textId="78A7E297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11,750.0</w:t>
            </w:r>
          </w:p>
        </w:tc>
      </w:tr>
      <w:tr w:rsidR="00E829E7" w:rsidRPr="00437E68" w14:paraId="7BE4850E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799D3C6D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20241B5C" w14:textId="0CC4BDDF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5,600.0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243A5258" w14:textId="1DB1A87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C75BD1A" w14:textId="26AA9173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6,350.0</w:t>
            </w:r>
          </w:p>
        </w:tc>
      </w:tr>
      <w:tr w:rsidR="00E829E7" w:rsidRPr="00437E68" w14:paraId="5A55A04E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08D1589C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62410926" w14:textId="60D05F9C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61,698.0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408E4A6" w14:textId="12A31C44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10,530.0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14389916" w14:textId="49E84729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72,228.0</w:t>
            </w:r>
          </w:p>
        </w:tc>
      </w:tr>
      <w:tr w:rsidR="00E829E7" w:rsidRPr="00437E68" w14:paraId="684BD364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21F3BCD6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EA011D2" w14:textId="3D719B48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1,140.0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DD861FA" w14:textId="38B0E5E5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-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7133B8F7" w14:textId="70AA460B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1,140.0</w:t>
            </w:r>
          </w:p>
        </w:tc>
      </w:tr>
      <w:tr w:rsidR="00E829E7" w:rsidRPr="00437E68" w14:paraId="436A86A4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2E4163E3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IDA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DA1B7EF" w14:textId="32C254C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300,000.0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601A15B4" w14:textId="24BF11AD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24,960.0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3BF77F9" w14:textId="50CB28C6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324,960.0</w:t>
            </w:r>
          </w:p>
        </w:tc>
      </w:tr>
      <w:tr w:rsidR="00E829E7" w:rsidRPr="00437E68" w14:paraId="68A9D9BA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8BC0CBB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IBRD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14142E5" w14:textId="0FC954B2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49,900.0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0FB00052" w14:textId="055523A4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50,000.0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E08F4F2" w14:textId="28490B75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99,900.0</w:t>
            </w:r>
          </w:p>
        </w:tc>
      </w:tr>
      <w:tr w:rsidR="00E829E7" w:rsidRPr="00437E68" w14:paraId="2570A11E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5712B17A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IFAD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32F674C" w14:textId="38C3FA3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5,400.0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C9A7725" w14:textId="31B22721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1,180.0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5CD9AA8C" w14:textId="3A820867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6,580.0</w:t>
            </w:r>
          </w:p>
        </w:tc>
      </w:tr>
      <w:tr w:rsidR="00E829E7" w:rsidRPr="00437E68" w14:paraId="657340DD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CE1B0B8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EBRD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29458538" w14:textId="0DF47102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57,100.0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6B149147" w14:textId="17A5FB63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8,500.0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0F164C21" w14:textId="6A12E45C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65,600.0</w:t>
            </w:r>
          </w:p>
        </w:tc>
      </w:tr>
      <w:tr w:rsidR="00E829E7" w:rsidRPr="00437E68" w14:paraId="5FD2DCEB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118C44F1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EIB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4D3D7F2E" w14:textId="42E4EB8F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36,800.0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B44F94D" w14:textId="68CEEBC7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10,450.0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301CE6E6" w14:textId="355D0301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47,250.0</w:t>
            </w:r>
          </w:p>
        </w:tc>
      </w:tr>
      <w:tr w:rsidR="00E829E7" w:rsidRPr="00437E68" w14:paraId="161A5199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37721BA2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ADB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2F9ADDC9" w14:textId="27A21EE1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312,140.0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633B29E1" w14:textId="12F811FA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36,000.0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FC28FFA" w14:textId="29F92C97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348,140.0</w:t>
            </w:r>
          </w:p>
        </w:tc>
      </w:tr>
      <w:tr w:rsidR="00E829E7" w:rsidRPr="00437E68" w14:paraId="242B084D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0AB92417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IMF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7BAA4119" w14:textId="302B9DE6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D904581" w14:textId="28C76E62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10,560.0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32C75595" w14:textId="5B3A7B0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10,560.0</w:t>
            </w:r>
          </w:p>
        </w:tc>
      </w:tr>
      <w:tr w:rsidR="00E829E7" w:rsidRPr="00437E68" w14:paraId="7139AE13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21EA3D47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EU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323D9553" w14:textId="6BA49C4F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F966465" w14:textId="0D89E189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1,690.0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47966F53" w14:textId="33995469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1,690.0</w:t>
            </w:r>
          </w:p>
        </w:tc>
      </w:tr>
      <w:tr w:rsidR="00E829E7" w:rsidRPr="00437E68" w14:paraId="334D0B3A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4CD7F075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CEB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330A587" w14:textId="11149885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C4AEA88" w14:textId="55DE74EE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71144FFA" w14:textId="657782CB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50.0</w:t>
            </w:r>
          </w:p>
        </w:tc>
      </w:tr>
      <w:tr w:rsidR="00E829E7" w:rsidRPr="00437E68" w14:paraId="608EF103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2DB48F02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AIIB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2DEF887" w14:textId="4DF3409B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3EF0FA61" w14:textId="5E34B286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1,460.0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3DC242F1" w14:textId="09935132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1,460.0</w:t>
            </w:r>
          </w:p>
        </w:tc>
      </w:tr>
      <w:tr w:rsidR="00E829E7" w:rsidRPr="00437E68" w14:paraId="46EF9033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6C0FBA5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NEFCO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482D6F0" w14:textId="25DA1B08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760.0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A7C8189" w14:textId="63043C10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1582687F" w14:textId="5A71603F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910.0</w:t>
            </w:r>
          </w:p>
        </w:tc>
      </w:tr>
      <w:tr w:rsidR="00E829E7" w:rsidRPr="00437E68" w14:paraId="30DB4B66" w14:textId="77777777" w:rsidTr="009D198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F7BD9FA" w14:textId="77777777" w:rsidR="00E829E7" w:rsidRPr="0040412C" w:rsidRDefault="00E829E7" w:rsidP="00E829E7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7D6649C5" w14:textId="196F643E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582917CE" w14:textId="0A0FB8C2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42,000.0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3B8322D0" w14:textId="75B46C58" w:rsidR="00E829E7" w:rsidRPr="006A0881" w:rsidRDefault="00E829E7" w:rsidP="00AD328B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42,000.0</w:t>
            </w:r>
          </w:p>
        </w:tc>
      </w:tr>
    </w:tbl>
    <w:p w14:paraId="67E8469E" w14:textId="77777777"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14:paraId="54EA0EF0" w14:textId="0AE7E8D8" w:rsidR="00B233C3" w:rsidRDefault="00B233C3">
      <w:pPr>
        <w:rPr>
          <w:rFonts w:ascii="Sylfaen" w:hAnsi="Sylfaen" w:cs="Sylfaen"/>
          <w:szCs w:val="21"/>
          <w:shd w:val="clear" w:color="auto" w:fill="FFFFFF"/>
        </w:rPr>
      </w:pPr>
      <w:r>
        <w:rPr>
          <w:rFonts w:ascii="Sylfaen" w:hAnsi="Sylfaen" w:cs="Sylfaen"/>
          <w:szCs w:val="21"/>
          <w:shd w:val="clear" w:color="auto" w:fill="FFFFFF"/>
        </w:rPr>
        <w:br w:type="page"/>
      </w:r>
    </w:p>
    <w:p w14:paraId="7DDC6974" w14:textId="77777777" w:rsidR="009A5FAB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324BEA79" w14:textId="77777777" w:rsidR="000A1240" w:rsidRPr="000A1240" w:rsidRDefault="003C2FBC" w:rsidP="003C2FBC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  <w:r w:rsidR="0096735A" w:rsidRPr="000A1240">
        <w:rPr>
          <w:rFonts w:ascii="Sylfaen" w:hAnsi="Sylfaen" w:cs="Sylfaen"/>
          <w:b/>
          <w:szCs w:val="21"/>
          <w:shd w:val="clear" w:color="auto" w:fill="FFFFFF"/>
        </w:rPr>
        <w:tab/>
      </w:r>
    </w:p>
    <w:p w14:paraId="256F0345" w14:textId="1565E369" w:rsidR="00396821" w:rsidRPr="000F487B" w:rsidRDefault="00E2344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 xml:space="preserve"> 6 თვის</w:t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 xml:space="preserve"> განმავლობაში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202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- 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10.5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2EDD2358" w14:textId="6950E0AB" w:rsidR="00396821" w:rsidRPr="00D63FD8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0F487B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BB632F">
        <w:rPr>
          <w:rFonts w:ascii="Sylfaen" w:hAnsi="Sylfaen" w:cs="Sylfaen"/>
          <w:shd w:val="clear" w:color="auto" w:fill="FFFFFF"/>
          <w:lang w:val="ka-GE"/>
        </w:rPr>
        <w:t>2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B632F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BB632F">
        <w:rPr>
          <w:rFonts w:ascii="Sylfaen" w:hAnsi="Sylfaen" w:cs="Sylfaen"/>
          <w:shd w:val="clear" w:color="auto" w:fill="FFFFFF"/>
          <w:lang w:val="ka-GE"/>
        </w:rPr>
        <w:t>6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BB632F">
        <w:rPr>
          <w:rFonts w:ascii="Sylfaen" w:hAnsi="Sylfaen" w:cs="Sylfaen"/>
          <w:shd w:val="clear" w:color="auto" w:fill="FFFFFF"/>
          <w:lang w:val="ka-GE"/>
        </w:rPr>
        <w:t>252</w:t>
      </w:r>
      <w:r w:rsidR="009E10CF" w:rsidRPr="000F487B">
        <w:rPr>
          <w:rFonts w:ascii="Sylfaen" w:hAnsi="Sylfaen" w:cs="Sylfaen"/>
          <w:shd w:val="clear" w:color="auto" w:fill="FFFFFF"/>
        </w:rPr>
        <w:t>.</w:t>
      </w:r>
      <w:r w:rsidR="00BB632F">
        <w:rPr>
          <w:rFonts w:ascii="Sylfaen" w:hAnsi="Sylfaen" w:cs="Sylfaen"/>
          <w:shd w:val="clear" w:color="auto" w:fill="FFFFFF"/>
          <w:lang w:val="ka-GE"/>
        </w:rPr>
        <w:t>4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</w:t>
      </w:r>
      <w:r w:rsidR="00BB632F">
        <w:rPr>
          <w:rFonts w:ascii="Sylfaen" w:hAnsi="Sylfaen" w:cs="Sylfaen"/>
          <w:shd w:val="clear" w:color="auto" w:fill="FFFFFF"/>
        </w:rPr>
        <w:t>6</w:t>
      </w:r>
      <w:r w:rsidR="008739E5" w:rsidRPr="000F487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BB632F">
        <w:rPr>
          <w:rFonts w:ascii="Sylfaen" w:hAnsi="Sylfaen" w:cs="Sylfaen"/>
          <w:shd w:val="clear" w:color="auto" w:fill="FFFFFF"/>
        </w:rPr>
        <w:t>206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BB632F">
        <w:rPr>
          <w:rFonts w:ascii="Sylfaen" w:hAnsi="Sylfaen" w:cs="Sylfaen"/>
          <w:shd w:val="clear" w:color="auto" w:fill="FFFFFF"/>
        </w:rPr>
        <w:t>3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BB632F">
        <w:rPr>
          <w:rFonts w:ascii="Sylfaen" w:hAnsi="Sylfaen"/>
          <w:szCs w:val="21"/>
          <w:shd w:val="clear" w:color="auto" w:fill="FFFFFF"/>
        </w:rPr>
        <w:t>44.0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BB632F">
        <w:rPr>
          <w:rFonts w:ascii="Sylfaen" w:hAnsi="Sylfaen" w:cs="Sylfaen"/>
          <w:shd w:val="clear" w:color="auto" w:fill="FFFFFF"/>
        </w:rPr>
        <w:t>917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BB632F">
        <w:rPr>
          <w:rFonts w:ascii="Sylfaen" w:hAnsi="Sylfaen" w:cs="Sylfaen"/>
          <w:shd w:val="clear" w:color="auto" w:fill="FFFFFF"/>
        </w:rPr>
        <w:t>6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BB632F">
        <w:rPr>
          <w:rFonts w:ascii="Sylfaen" w:hAnsi="Sylfaen" w:cs="Sylfaen"/>
          <w:shd w:val="clear" w:color="auto" w:fill="FFFFFF"/>
        </w:rPr>
        <w:t>290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BB632F">
        <w:rPr>
          <w:rFonts w:ascii="Sylfaen" w:hAnsi="Sylfaen"/>
          <w:szCs w:val="21"/>
          <w:shd w:val="clear" w:color="auto" w:fill="FFFFFF"/>
        </w:rPr>
        <w:t>44.0</w:t>
      </w:r>
      <w:r w:rsidR="00BB632F" w:rsidRPr="000F487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>მლნ ლარი.</w:t>
      </w:r>
    </w:p>
    <w:p w14:paraId="74A1A010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7866F62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B6C0041" w14:textId="77777777" w:rsidR="001C7199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14:paraId="7952AEFA" w14:textId="16890E56" w:rsidR="00396821" w:rsidRPr="000F487B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BB632F">
        <w:rPr>
          <w:rFonts w:ascii="Sylfaen" w:hAnsi="Sylfaen" w:cs="Sylfaen"/>
          <w:b/>
          <w:sz w:val="20"/>
          <w:szCs w:val="20"/>
          <w:shd w:val="clear" w:color="auto" w:fill="FFFFFF"/>
        </w:rPr>
        <w:t>2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BB632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ივნისის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740FA647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176ADC92" w14:textId="77777777"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რი</w:t>
      </w:r>
    </w:p>
    <w:tbl>
      <w:tblPr>
        <w:tblStyle w:val="TableGrid"/>
        <w:tblW w:w="4828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35"/>
        <w:gridCol w:w="2453"/>
      </w:tblGrid>
      <w:tr w:rsidR="001C7199" w:rsidRPr="0040412C" w14:paraId="0084FD7C" w14:textId="77777777" w:rsidTr="005D3724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14:paraId="799C7A5E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14:paraId="030F643C" w14:textId="13DB012D" w:rsidR="001C7199" w:rsidRPr="00BB632F" w:rsidRDefault="00BB632F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250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298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>,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0</w:t>
            </w:r>
          </w:p>
        </w:tc>
      </w:tr>
      <w:tr w:rsidR="001C7199" w:rsidRPr="0040412C" w14:paraId="1208AFB1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08FD2D8F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  <w:hideMark/>
          </w:tcPr>
          <w:p w14:paraId="73C97133" w14:textId="6EBF753C" w:rsidR="001C7199" w:rsidRPr="0040412C" w:rsidRDefault="001C7199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5 </w:t>
            </w:r>
            <w:r w:rsidR="00BB632F" w:rsidRPr="00BB632F">
              <w:rPr>
                <w:rFonts w:ascii="Sylfaen" w:hAnsi="Sylfaen" w:cstheme="minorHAnsi"/>
                <w:b/>
                <w:sz w:val="20"/>
                <w:szCs w:val="20"/>
              </w:rPr>
              <w:t>915 488</w:t>
            </w: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>,0</w:t>
            </w:r>
          </w:p>
        </w:tc>
      </w:tr>
      <w:tr w:rsidR="001C7199" w:rsidRPr="0040412C" w14:paraId="4C4C4717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14:paraId="7248D038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6</w:t>
            </w: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თვის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ვადიანობის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სახაზინო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266" w:type="pct"/>
          </w:tcPr>
          <w:p w14:paraId="6E68FA03" w14:textId="7A7C8B33" w:rsidR="001C7199" w:rsidRPr="0040412C" w:rsidRDefault="00BB632F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120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1C7199" w:rsidRPr="0040412C" w14:paraId="480C1CD2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25501CE4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266" w:type="pct"/>
            <w:hideMark/>
          </w:tcPr>
          <w:p w14:paraId="0D712103" w14:textId="1E865457" w:rsidR="001C7199" w:rsidRPr="0040412C" w:rsidRDefault="00DA5FC2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2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>5</w:t>
            </w: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0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1C7199" w:rsidRPr="0040412C" w14:paraId="2DE2032F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13BA8EFD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266" w:type="pct"/>
            <w:hideMark/>
          </w:tcPr>
          <w:p w14:paraId="770C4C8F" w14:textId="66B6BDB1" w:rsidR="001C7199" w:rsidRPr="0040412C" w:rsidRDefault="00DA5FC2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1 060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1C7199" w:rsidRPr="0040412C" w14:paraId="2F7E974A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52A0F804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14:paraId="04579869" w14:textId="52FB9FC2" w:rsidR="001C7199" w:rsidRPr="0040412C" w:rsidRDefault="00DA5FC2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3 114 920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>,0</w:t>
            </w:r>
          </w:p>
        </w:tc>
      </w:tr>
      <w:tr w:rsidR="001C7199" w:rsidRPr="0040412C" w14:paraId="03AB6D82" w14:textId="77777777" w:rsidTr="005D3724">
        <w:trPr>
          <w:trHeight w:val="353"/>
          <w:jc w:val="center"/>
        </w:trPr>
        <w:tc>
          <w:tcPr>
            <w:tcW w:w="3734" w:type="pct"/>
            <w:noWrap/>
            <w:vAlign w:val="center"/>
            <w:hideMark/>
          </w:tcPr>
          <w:p w14:paraId="267EACA1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14:paraId="64B15F8C" w14:textId="2F371175"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 xml:space="preserve">1 </w:t>
            </w:r>
            <w:r w:rsidR="00DA5FC2">
              <w:rPr>
                <w:rFonts w:ascii="Sylfaen" w:hAnsi="Sylfaen" w:cstheme="minorHAnsi"/>
                <w:sz w:val="20"/>
                <w:szCs w:val="20"/>
                <w:lang w:val="ka-GE"/>
              </w:rPr>
              <w:t>370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 xml:space="preserve"> 568,0</w:t>
            </w:r>
          </w:p>
        </w:tc>
      </w:tr>
      <w:tr w:rsidR="001C7199" w:rsidRPr="0040412C" w14:paraId="3151F51A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6294BA10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</w:tcPr>
          <w:p w14:paraId="7EB2ED99" w14:textId="2E67C24F" w:rsidR="001C7199" w:rsidRPr="0040412C" w:rsidRDefault="00DA5FC2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290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1C7199" w:rsidRPr="0040412C" w14:paraId="49ABDF90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3034BD4A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266" w:type="pct"/>
            <w:hideMark/>
          </w:tcPr>
          <w:p w14:paraId="724E875D" w14:textId="0315E04D" w:rsidR="001C7199" w:rsidRPr="0040412C" w:rsidRDefault="00DA5FC2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120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 xml:space="preserve"> 846,0</w:t>
            </w:r>
          </w:p>
        </w:tc>
      </w:tr>
      <w:tr w:rsidR="001C7199" w:rsidRPr="0040412C" w14:paraId="14518A39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61AC7CFD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266" w:type="pct"/>
            <w:hideMark/>
          </w:tcPr>
          <w:p w14:paraId="3143E268" w14:textId="3C6AAEC4"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</w:t>
            </w:r>
            <w:r w:rsidR="00DA5FC2">
              <w:rPr>
                <w:rFonts w:ascii="Sylfaen" w:hAnsi="Sylfaen" w:cstheme="minorHAnsi"/>
                <w:sz w:val="20"/>
                <w:szCs w:val="20"/>
                <w:lang w:val="ka-GE"/>
              </w:rPr>
              <w:t>7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1C7199" w:rsidRPr="0040412C" w14:paraId="6BB8A553" w14:textId="77777777" w:rsidTr="005D3724">
        <w:trPr>
          <w:trHeight w:val="288"/>
          <w:jc w:val="center"/>
        </w:trPr>
        <w:tc>
          <w:tcPr>
            <w:tcW w:w="3734" w:type="pct"/>
            <w:vAlign w:val="center"/>
          </w:tcPr>
          <w:p w14:paraId="17306967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ნაშ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266" w:type="pct"/>
          </w:tcPr>
          <w:p w14:paraId="37484CD7" w14:textId="2A5574C9" w:rsidR="001C7199" w:rsidRPr="00DA5FC2" w:rsidRDefault="00DA5FC2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43 964.0</w:t>
            </w:r>
          </w:p>
        </w:tc>
      </w:tr>
    </w:tbl>
    <w:p w14:paraId="25AB5D76" w14:textId="77777777"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14:paraId="3A2D3888" w14:textId="2529B39F" w:rsidR="00D63FD8" w:rsidRPr="00D63FD8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D521CF">
        <w:rPr>
          <w:rFonts w:ascii="Sylfaen" w:hAnsi="Sylfaen"/>
          <w:lang w:val="ka-GE"/>
        </w:rPr>
        <w:t>202</w:t>
      </w:r>
      <w:r w:rsidR="00180F87" w:rsidRPr="00D521CF">
        <w:rPr>
          <w:rFonts w:ascii="Sylfaen" w:hAnsi="Sylfaen"/>
        </w:rPr>
        <w:t>2</w:t>
      </w:r>
      <w:r w:rsidRPr="00D521CF">
        <w:rPr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წლის</w:t>
      </w:r>
      <w:proofErr w:type="spellEnd"/>
      <w:r w:rsidRPr="00D521CF">
        <w:t xml:space="preserve"> </w:t>
      </w:r>
      <w:proofErr w:type="spellStart"/>
      <w:r w:rsidRPr="00D521CF">
        <w:rPr>
          <w:rFonts w:ascii="Sylfaen" w:hAnsi="Sylfaen" w:cs="Sylfaen"/>
        </w:rPr>
        <w:t>სახელმწიფო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ბიუჯეტის</w:t>
      </w:r>
      <w:proofErr w:type="spellEnd"/>
      <w:r w:rsidRPr="00D521CF">
        <w:rPr>
          <w:rFonts w:ascii="Sylfaen" w:hAnsi="Sylfaen"/>
        </w:rPr>
        <w:t xml:space="preserve"> </w:t>
      </w:r>
      <w:r w:rsidR="00DA5FC2">
        <w:rPr>
          <w:rFonts w:ascii="Sylfaen" w:hAnsi="Sylfaen"/>
          <w:lang w:val="ka-GE"/>
        </w:rPr>
        <w:t xml:space="preserve">ცვლილების </w:t>
      </w:r>
      <w:proofErr w:type="spellStart"/>
      <w:r w:rsidRPr="00D521CF">
        <w:rPr>
          <w:rFonts w:ascii="Sylfaen" w:hAnsi="Sylfaen" w:cs="Sylfaen"/>
        </w:rPr>
        <w:t>პროექტი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ითვალისწინებს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სახაზინო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ვალდებულებებისა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და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სახაზინო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ობლიგაციების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გამოშვებ</w:t>
      </w:r>
      <w:proofErr w:type="spellEnd"/>
      <w:r w:rsidR="00E60B55" w:rsidRPr="00D521CF">
        <w:rPr>
          <w:rFonts w:ascii="Sylfaen" w:hAnsi="Sylfaen"/>
          <w:lang w:val="ka-GE"/>
        </w:rPr>
        <w:t>იდან მიღებულ საპროგნოზო თანხას</w:t>
      </w:r>
      <w:r w:rsidR="00D521CF">
        <w:rPr>
          <w:rFonts w:ascii="Sylfaen" w:hAnsi="Sylfaen"/>
          <w:lang w:val="ka-GE"/>
        </w:rPr>
        <w:t xml:space="preserve"> 2 80</w:t>
      </w:r>
      <w:r w:rsidR="00103D04" w:rsidRPr="00D521CF">
        <w:rPr>
          <w:rFonts w:ascii="Sylfaen" w:hAnsi="Sylfaen"/>
          <w:lang w:val="ka-GE"/>
        </w:rPr>
        <w:t>0 000.0 ათასი ლარის ოდენობით</w:t>
      </w:r>
      <w:r w:rsidR="00D63FD8" w:rsidRPr="00D521CF">
        <w:rPr>
          <w:rFonts w:ascii="Sylfaen" w:hAnsi="Sylfaen"/>
          <w:lang w:val="ka-GE"/>
        </w:rPr>
        <w:t xml:space="preserve"> და</w:t>
      </w:r>
      <w:r w:rsidR="00103D04" w:rsidRPr="00D521CF">
        <w:rPr>
          <w:rFonts w:ascii="Sylfaen" w:hAnsi="Sylfaen"/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საშინაო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ვალდებულებების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მოსალოდნელ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კლებას</w:t>
      </w:r>
      <w:proofErr w:type="spellEnd"/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/>
          <w:lang w:val="ka-GE"/>
        </w:rPr>
        <w:t xml:space="preserve">1 </w:t>
      </w:r>
      <w:r w:rsidR="008170FC" w:rsidRPr="00D521CF">
        <w:rPr>
          <w:rFonts w:ascii="Sylfaen" w:hAnsi="Sylfaen"/>
        </w:rPr>
        <w:t>5</w:t>
      </w:r>
      <w:r w:rsidR="00D521CF">
        <w:rPr>
          <w:rFonts w:ascii="Sylfaen" w:hAnsi="Sylfaen"/>
          <w:lang w:val="ka-GE"/>
        </w:rPr>
        <w:t>0</w:t>
      </w:r>
      <w:r w:rsidR="008170FC" w:rsidRPr="00D521CF">
        <w:rPr>
          <w:rFonts w:ascii="Sylfaen" w:hAnsi="Sylfaen"/>
        </w:rPr>
        <w:t>0</w:t>
      </w:r>
      <w:r w:rsidR="008170FC" w:rsidRPr="00D521CF">
        <w:rPr>
          <w:rFonts w:ascii="Sylfaen" w:hAnsi="Sylfaen"/>
          <w:lang w:val="ka-GE"/>
        </w:rPr>
        <w:t xml:space="preserve"> </w:t>
      </w:r>
      <w:r w:rsidRPr="00D521CF">
        <w:rPr>
          <w:rFonts w:ascii="Sylfaen" w:hAnsi="Sylfaen"/>
          <w:lang w:val="ka-GE"/>
        </w:rPr>
        <w:t>000</w:t>
      </w:r>
      <w:r w:rsidRPr="00D521CF">
        <w:rPr>
          <w:rFonts w:ascii="Sylfaen" w:hAnsi="Sylfaen"/>
        </w:rPr>
        <w:t xml:space="preserve">.0 </w:t>
      </w:r>
      <w:proofErr w:type="spellStart"/>
      <w:r w:rsidRPr="00D521CF">
        <w:rPr>
          <w:rFonts w:ascii="Sylfaen" w:hAnsi="Sylfaen" w:cs="Sylfaen"/>
        </w:rPr>
        <w:t>ათასი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ლარის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ოდენობით</w:t>
      </w:r>
      <w:proofErr w:type="spellEnd"/>
      <w:r w:rsidR="008170FC" w:rsidRPr="00D521CF">
        <w:rPr>
          <w:rFonts w:ascii="Sylfaen" w:hAnsi="Sylfaen"/>
          <w:lang w:val="ka-GE"/>
        </w:rPr>
        <w:t>. შესაბამისად, 2022 წლის ბოლოს მდგო</w:t>
      </w:r>
      <w:r w:rsidR="00D63FD8" w:rsidRPr="00D521CF">
        <w:rPr>
          <w:rFonts w:ascii="Sylfaen" w:hAnsi="Sylfaen"/>
          <w:lang w:val="ka-GE"/>
        </w:rPr>
        <w:t>მ</w:t>
      </w:r>
      <w:r w:rsidR="008170FC" w:rsidRPr="00D521CF">
        <w:rPr>
          <w:rFonts w:ascii="Sylfaen" w:hAnsi="Sylfaen"/>
          <w:lang w:val="ka-GE"/>
        </w:rPr>
        <w:t>არეობით საშინაო ვალდებულებების წმინდა ზრდის საპროგნოზო მაჩვენებელი შეადგენს 1 300 000.0 ათას ლარს</w:t>
      </w:r>
      <w:r w:rsidR="00D521CF">
        <w:rPr>
          <w:rFonts w:ascii="Sylfaen" w:hAnsi="Sylfaen"/>
          <w:lang w:val="ka-GE"/>
        </w:rPr>
        <w:t xml:space="preserve"> (2 80</w:t>
      </w:r>
      <w:r w:rsidR="008170FC" w:rsidRPr="00D521CF">
        <w:rPr>
          <w:rFonts w:ascii="Sylfaen" w:hAnsi="Sylfaen"/>
          <w:lang w:val="ka-GE"/>
        </w:rPr>
        <w:t>0 000.0 – 1 5</w:t>
      </w:r>
      <w:r w:rsidR="00D521CF">
        <w:rPr>
          <w:rFonts w:ascii="Sylfaen" w:hAnsi="Sylfaen"/>
        </w:rPr>
        <w:t>0</w:t>
      </w:r>
      <w:r w:rsidR="008170FC" w:rsidRPr="00D521CF">
        <w:rPr>
          <w:rFonts w:ascii="Sylfaen" w:hAnsi="Sylfaen"/>
          <w:lang w:val="ka-GE"/>
        </w:rPr>
        <w:t>0 000.0</w:t>
      </w:r>
      <w:r w:rsidR="00D63FD8" w:rsidRPr="00D521CF">
        <w:rPr>
          <w:rFonts w:ascii="Sylfaen" w:hAnsi="Sylfaen"/>
          <w:lang w:val="ka-GE"/>
        </w:rPr>
        <w:t>).</w:t>
      </w:r>
    </w:p>
    <w:p w14:paraId="73DE89E0" w14:textId="77777777" w:rsidR="00B404A9" w:rsidRPr="008739E5" w:rsidRDefault="00D63FD8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 xml:space="preserve">2022 წლის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პროექტი</w:t>
      </w:r>
      <w:proofErr w:type="spellEnd"/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="00B404A9" w:rsidRPr="00D63FD8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მთავრობის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ეროვნული</w:t>
      </w:r>
      <w:proofErr w:type="spellEnd"/>
      <w:r w:rsidR="00B404A9" w:rsidRPr="008739E5">
        <w:t xml:space="preserve"> </w:t>
      </w:r>
      <w:r w:rsidR="00B404A9"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დაფარვის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ღონისძიებების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შესახებ</w:t>
      </w:r>
      <w:proofErr w:type="spellEnd"/>
      <w:r w:rsidR="00B404A9" w:rsidRPr="008739E5">
        <w:t xml:space="preserve">“ </w:t>
      </w:r>
      <w:r w:rsidR="00B404A9" w:rsidRPr="00041224">
        <w:rPr>
          <w:rFonts w:ascii="Sylfaen" w:hAnsi="Sylfaen"/>
          <w:lang w:val="ka-GE"/>
        </w:rPr>
        <w:t>2006 წლის 20 მარტის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შეთანხმებაში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ცვლილებების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შეტანის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თაობაზე</w:t>
      </w:r>
      <w:proofErr w:type="spellEnd"/>
      <w:r w:rsidR="00B404A9" w:rsidRPr="008739E5">
        <w:t xml:space="preserve">“ </w:t>
      </w:r>
      <w:proofErr w:type="spellStart"/>
      <w:r w:rsidR="00B404A9" w:rsidRPr="008739E5">
        <w:rPr>
          <w:rFonts w:ascii="Sylfaen" w:hAnsi="Sylfaen" w:cs="Sylfaen"/>
        </w:rPr>
        <w:t>შეთანხმების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შესაბამისად</w:t>
      </w:r>
      <w:proofErr w:type="spellEnd"/>
      <w:r w:rsidR="00B404A9" w:rsidRPr="008739E5">
        <w:t xml:space="preserve">. </w:t>
      </w:r>
    </w:p>
    <w:p w14:paraId="3B5C59BA" w14:textId="77777777" w:rsidR="00C50CA0" w:rsidRPr="00C50CA0" w:rsidRDefault="002A01C6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>
        <w:rPr>
          <w:rFonts w:ascii="Sylfaen" w:hAnsi="Sylfaen" w:cs="Sylfaen"/>
          <w:szCs w:val="21"/>
          <w:shd w:val="clear" w:color="auto" w:fill="FFFFFF"/>
        </w:rPr>
        <w:t>2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proofErr w:type="spellStart"/>
      <w:r w:rsidRPr="00C50CA0">
        <w:rPr>
          <w:rFonts w:ascii="Sylfaen" w:hAnsi="Sylfaen" w:cs="Sylfaen"/>
        </w:rPr>
        <w:t>სახელმწიფო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ბიუჯეტის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პროექტით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გათვალისწინებულია</w:t>
      </w:r>
      <w:proofErr w:type="spellEnd"/>
      <w:r w:rsidRPr="00C50CA0">
        <w:rPr>
          <w:rFonts w:ascii="Sylfaen" w:hAnsi="Sylfaen" w:cs="Sylfaen"/>
        </w:rPr>
        <w:t xml:space="preserve"> 525 000.0 </w:t>
      </w:r>
      <w:proofErr w:type="spellStart"/>
      <w:r w:rsidRPr="00C50CA0">
        <w:rPr>
          <w:rFonts w:ascii="Sylfaen" w:hAnsi="Sylfaen" w:cs="Sylfaen"/>
        </w:rPr>
        <w:t>ათასი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ლარი</w:t>
      </w:r>
      <w:proofErr w:type="spellEnd"/>
      <w:r w:rsidRPr="00C50CA0">
        <w:rPr>
          <w:rFonts w:ascii="Sylfaen" w:hAnsi="Sylfaen" w:cs="Sylfaen"/>
        </w:rPr>
        <w:t>.</w:t>
      </w:r>
    </w:p>
    <w:p w14:paraId="60EAF814" w14:textId="77777777" w:rsidR="00B404A9" w:rsidRDefault="00B404A9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>202</w:t>
      </w:r>
      <w:r w:rsidR="002A01C6" w:rsidRPr="00C50CA0">
        <w:rPr>
          <w:rFonts w:ascii="Sylfaen" w:hAnsi="Sylfaen" w:cs="Sylfaen"/>
        </w:rPr>
        <w:t>2</w:t>
      </w:r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კანონის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პროექტით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14:paraId="313C0A5B" w14:textId="77777777"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5F4AADB6" w14:textId="77777777" w:rsidR="00696807" w:rsidRDefault="00696807">
      <w:pPr>
        <w:rPr>
          <w:rFonts w:ascii="Sylfaen" w:hAnsi="Sylfaen"/>
          <w:b/>
          <w:highlight w:val="yellow"/>
          <w:lang w:val="ka-GE"/>
        </w:rPr>
      </w:pPr>
      <w:r>
        <w:rPr>
          <w:rFonts w:ascii="Sylfaen" w:hAnsi="Sylfaen"/>
          <w:b/>
          <w:highlight w:val="yellow"/>
          <w:lang w:val="ka-GE"/>
        </w:rPr>
        <w:br w:type="page"/>
      </w:r>
    </w:p>
    <w:p w14:paraId="302AD595" w14:textId="77777777" w:rsidR="007A5274" w:rsidRDefault="007A5274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67661EE5" w14:textId="78715DDD"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4C26AE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2A01C6" w:rsidRPr="004C26AE">
        <w:rPr>
          <w:rFonts w:ascii="Sylfaen" w:hAnsi="Sylfaen"/>
          <w:b/>
        </w:rPr>
        <w:t>2</w:t>
      </w:r>
      <w:r w:rsidRPr="004C26AE">
        <w:rPr>
          <w:rFonts w:ascii="Sylfaen" w:hAnsi="Sylfaen"/>
          <w:b/>
          <w:lang w:val="ka-GE"/>
        </w:rPr>
        <w:t xml:space="preserve"> წლის ბოლოსთვის</w:t>
      </w:r>
    </w:p>
    <w:p w14:paraId="1B070C58" w14:textId="77777777" w:rsidR="007A5274" w:rsidRPr="004C26AE" w:rsidRDefault="007A5274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53BC2F3A" w14:textId="77777777" w:rsidR="00BB0398" w:rsidRPr="004C26AE" w:rsidRDefault="00BB0398" w:rsidP="00B03B65">
      <w:pPr>
        <w:tabs>
          <w:tab w:val="left" w:pos="720"/>
          <w:tab w:val="left" w:pos="9360"/>
        </w:tabs>
        <w:spacing w:after="0" w:line="240" w:lineRule="auto"/>
        <w:ind w:right="693"/>
        <w:jc w:val="right"/>
        <w:rPr>
          <w:rFonts w:ascii="Sylfaen" w:hAnsi="Sylfaen"/>
          <w:b/>
          <w:i/>
          <w:sz w:val="18"/>
          <w:szCs w:val="18"/>
          <w:lang w:val="ka-GE"/>
        </w:rPr>
      </w:pPr>
      <w:r w:rsidRPr="004C26AE">
        <w:rPr>
          <w:rFonts w:ascii="Sylfaen" w:hAnsi="Sylfaen"/>
          <w:b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8"/>
        <w:gridCol w:w="2025"/>
      </w:tblGrid>
      <w:tr w:rsidR="00696807" w:rsidRPr="00696807" w14:paraId="7142EBEB" w14:textId="77777777" w:rsidTr="00B233C3">
        <w:trPr>
          <w:trHeight w:val="536"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FA2D0" w14:textId="77777777" w:rsidR="00696807" w:rsidRPr="00696807" w:rsidRDefault="00696807" w:rsidP="0069680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1" w:name="RANGE!B2:C42"/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5C854" w14:textId="77777777" w:rsidR="00696807" w:rsidRPr="00696807" w:rsidRDefault="00696807" w:rsidP="00696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საპროგნოზო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31.12.2022</w:t>
            </w:r>
          </w:p>
        </w:tc>
      </w:tr>
      <w:tr w:rsidR="00696807" w:rsidRPr="00696807" w14:paraId="2AC1E502" w14:textId="77777777" w:rsidTr="00B233C3">
        <w:trPr>
          <w:trHeight w:val="50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1996C" w14:textId="77E55B8E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C26A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7923C" w14:textId="1F4F2AE0" w:rsidR="00696807" w:rsidRPr="00696807" w:rsidRDefault="004C26AE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21,508,452.8</w:t>
            </w:r>
          </w:p>
        </w:tc>
      </w:tr>
      <w:tr w:rsidR="00696807" w:rsidRPr="00696807" w14:paraId="154A526A" w14:textId="77777777" w:rsidTr="00B233C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0291B532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2AE1035A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15,728,691.3</w:t>
            </w:r>
          </w:p>
        </w:tc>
      </w:tr>
      <w:tr w:rsidR="00696807" w:rsidRPr="00696807" w14:paraId="2EA6FA4F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87842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3A6E50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5,557,953.0</w:t>
            </w:r>
          </w:p>
        </w:tc>
      </w:tr>
      <w:tr w:rsidR="00696807" w:rsidRPr="00696807" w14:paraId="02D4F8E2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D7D4B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სოფლის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1C82DC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105,809.0</w:t>
            </w:r>
          </w:p>
        </w:tc>
      </w:tr>
      <w:tr w:rsidR="00696807" w:rsidRPr="00696807" w14:paraId="6C20F250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CAA1A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F68388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544,311.7</w:t>
            </w:r>
          </w:p>
        </w:tc>
      </w:tr>
      <w:tr w:rsidR="00696807" w:rsidRPr="00696807" w14:paraId="589B655B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CD535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8C2CB1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736,630.7</w:t>
            </w:r>
          </w:p>
        </w:tc>
      </w:tr>
      <w:tr w:rsidR="00696807" w:rsidRPr="00696807" w14:paraId="05158507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C32FE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8D1970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5,371,773.5</w:t>
            </w:r>
          </w:p>
        </w:tc>
      </w:tr>
      <w:tr w:rsidR="00696807" w:rsidRPr="00696807" w14:paraId="50552092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D1EE2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B68691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2,471,291.8</w:t>
            </w:r>
          </w:p>
        </w:tc>
      </w:tr>
      <w:tr w:rsidR="00696807" w:rsidRPr="00696807" w14:paraId="3090BC54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F6E35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C3DA0B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380,007.6</w:t>
            </w:r>
          </w:p>
        </w:tc>
      </w:tr>
      <w:tr w:rsidR="00696807" w:rsidRPr="00696807" w14:paraId="2B542B0F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59E62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E9F475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524,935.2</w:t>
            </w:r>
          </w:p>
        </w:tc>
      </w:tr>
      <w:tr w:rsidR="00696807" w:rsidRPr="00696807" w14:paraId="6CA60890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4B058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EE0E43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29,710.4</w:t>
            </w:r>
          </w:p>
        </w:tc>
      </w:tr>
      <w:tr w:rsidR="00696807" w:rsidRPr="00696807" w14:paraId="760AF52B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36F8E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FB5C25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6,268.5</w:t>
            </w:r>
          </w:p>
        </w:tc>
      </w:tr>
      <w:tr w:rsidR="00696807" w:rsidRPr="00696807" w14:paraId="7E9556C8" w14:textId="77777777" w:rsidTr="00B233C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D6C6B09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6352E7D9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4,349,331.8</w:t>
            </w:r>
          </w:p>
        </w:tc>
      </w:tr>
      <w:tr w:rsidR="00696807" w:rsidRPr="00696807" w14:paraId="7A97BF50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2686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E5C3DD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38,080.5</w:t>
            </w:r>
          </w:p>
        </w:tc>
      </w:tr>
      <w:tr w:rsidR="00696807" w:rsidRPr="00696807" w14:paraId="54720C50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34B96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C78624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9,248.0</w:t>
            </w:r>
          </w:p>
        </w:tc>
      </w:tr>
      <w:tr w:rsidR="00696807" w:rsidRPr="00696807" w14:paraId="09A38CEF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F2F02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CB2051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602.5</w:t>
            </w:r>
          </w:p>
        </w:tc>
      </w:tr>
      <w:tr w:rsidR="00696807" w:rsidRPr="00696807" w14:paraId="594C21B9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26791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2C0F19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18,007.6</w:t>
            </w:r>
          </w:p>
        </w:tc>
      </w:tr>
      <w:tr w:rsidR="00696807" w:rsidRPr="00696807" w14:paraId="7DC9D5FE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6A8EC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7B4318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6,745.7</w:t>
            </w:r>
          </w:p>
        </w:tc>
      </w:tr>
      <w:tr w:rsidR="00696807" w:rsidRPr="00696807" w14:paraId="57382ED0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36F3A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6EEAF2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63,213.1</w:t>
            </w:r>
          </w:p>
        </w:tc>
      </w:tr>
      <w:tr w:rsidR="00696807" w:rsidRPr="00696807" w14:paraId="32129B20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8C6CB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9F1C6F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8,157.9</w:t>
            </w:r>
          </w:p>
        </w:tc>
      </w:tr>
      <w:tr w:rsidR="00696807" w:rsidRPr="00696807" w14:paraId="38AAD124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5FB70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1B9EE0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10,059.7</w:t>
            </w:r>
          </w:p>
        </w:tc>
      </w:tr>
      <w:tr w:rsidR="00696807" w:rsidRPr="00696807" w14:paraId="65FEF978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61CC9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2B022B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1,726,974.2</w:t>
            </w:r>
          </w:p>
        </w:tc>
      </w:tr>
      <w:tr w:rsidR="00696807" w:rsidRPr="00696807" w14:paraId="08FC6678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5663C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1FC605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411,221.1</w:t>
            </w:r>
          </w:p>
        </w:tc>
      </w:tr>
      <w:tr w:rsidR="00696807" w:rsidRPr="00696807" w14:paraId="05F1547E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3B9FF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335284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41,836.8</w:t>
            </w:r>
          </w:p>
        </w:tc>
      </w:tr>
      <w:tr w:rsidR="00696807" w:rsidRPr="00696807" w14:paraId="6E289BD3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324A5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E18142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190.3</w:t>
            </w:r>
          </w:p>
        </w:tc>
      </w:tr>
      <w:tr w:rsidR="00696807" w:rsidRPr="00696807" w14:paraId="08B6345C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EE3DB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ამერიკა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A7FD89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31,000.8</w:t>
            </w:r>
          </w:p>
        </w:tc>
      </w:tr>
      <w:tr w:rsidR="00696807" w:rsidRPr="00696807" w14:paraId="6711846C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35AC1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BD73D6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1,983,993.7</w:t>
            </w:r>
          </w:p>
        </w:tc>
      </w:tr>
      <w:tr w:rsidR="00696807" w:rsidRPr="00696807" w14:paraId="6A38239B" w14:textId="77777777" w:rsidTr="00B233C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26121F78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204DF837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1,427,150.0</w:t>
            </w:r>
          </w:p>
        </w:tc>
      </w:tr>
      <w:tr w:rsidR="00696807" w:rsidRPr="00696807" w14:paraId="772129A6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AD20B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18B694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1,427,150.0</w:t>
            </w:r>
          </w:p>
        </w:tc>
      </w:tr>
      <w:tr w:rsidR="00696807" w:rsidRPr="00696807" w14:paraId="040DFA95" w14:textId="77777777" w:rsidTr="00B233C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E47B5FF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301DD8AC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3,279.6</w:t>
            </w:r>
          </w:p>
        </w:tc>
      </w:tr>
      <w:tr w:rsidR="00696807" w:rsidRPr="00696807" w14:paraId="40852CB9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2CD2B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95B673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3,279.6</w:t>
            </w:r>
          </w:p>
        </w:tc>
      </w:tr>
      <w:tr w:rsidR="00696807" w:rsidRPr="00696807" w14:paraId="05BBB476" w14:textId="77777777" w:rsidTr="00B233C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516F7055" w14:textId="02543050" w:rsidR="00696807" w:rsidRPr="00696807" w:rsidRDefault="007A5274" w:rsidP="0069680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="00696807"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6807"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="00696807"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6807"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="00696807"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B354598" w14:textId="23209E32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</w:t>
            </w:r>
            <w:r w:rsidR="007A5274" w:rsidRPr="007A52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A5274" w:rsidRPr="007A52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99.9</w:t>
            </w:r>
          </w:p>
        </w:tc>
      </w:tr>
      <w:tr w:rsidR="00696807" w:rsidRPr="00696807" w14:paraId="75DA7461" w14:textId="77777777" w:rsidTr="00B233C3">
        <w:trPr>
          <w:trHeight w:val="6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6B6FC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ბანკისთვის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განკუთვნილი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ერთწლიანი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ყოველწლიურად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განახლებადი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A6AA27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120,846.0</w:t>
            </w:r>
          </w:p>
        </w:tc>
      </w:tr>
      <w:tr w:rsidR="00696807" w:rsidRPr="00696807" w14:paraId="14398087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FA1C0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ვადის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ღია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ბაზრის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DD2DF8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152,000.0</w:t>
            </w:r>
          </w:p>
        </w:tc>
      </w:tr>
      <w:tr w:rsidR="00696807" w:rsidRPr="00696807" w14:paraId="777C9494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47110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727198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381,642.0</w:t>
            </w:r>
          </w:p>
        </w:tc>
      </w:tr>
      <w:tr w:rsidR="00696807" w:rsidRPr="00696807" w14:paraId="5CA094B2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CF319" w14:textId="77777777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E6A6F9" w14:textId="77777777" w:rsidR="00696807" w:rsidRPr="00696807" w:rsidRDefault="00696807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6,404,311.9</w:t>
            </w:r>
          </w:p>
        </w:tc>
      </w:tr>
      <w:tr w:rsidR="007A5274" w:rsidRPr="00696807" w14:paraId="6DBA699B" w14:textId="77777777" w:rsidTr="00B233C3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BB4242" w14:textId="59E038F6" w:rsidR="007A5274" w:rsidRPr="00696807" w:rsidRDefault="007A5274" w:rsidP="0069680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სესხის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სახით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FE98C5B" w14:textId="1AAA2CA6" w:rsidR="007A5274" w:rsidRPr="007A5274" w:rsidRDefault="007A5274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41,400.0</w:t>
            </w:r>
          </w:p>
        </w:tc>
      </w:tr>
      <w:tr w:rsidR="00696807" w:rsidRPr="00696807" w14:paraId="03FEFB35" w14:textId="77777777" w:rsidTr="00B233C3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547BC" w14:textId="329CD1F1" w:rsidR="00696807" w:rsidRPr="00696807" w:rsidRDefault="00696807" w:rsidP="0069680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A527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5274"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ზღვრული</w:t>
            </w:r>
            <w:proofErr w:type="spellEnd"/>
            <w:r w:rsidR="007A5274"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5274"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DAD53" w14:textId="7A575E44" w:rsidR="00696807" w:rsidRPr="007A5274" w:rsidRDefault="007A5274" w:rsidP="00696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52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28,608,652.7</w:t>
            </w:r>
          </w:p>
        </w:tc>
      </w:tr>
    </w:tbl>
    <w:p w14:paraId="323C2FC4" w14:textId="77777777" w:rsidR="00B93A56" w:rsidRDefault="00B93A56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14:paraId="279EF35A" w14:textId="77777777" w:rsidR="007A5274" w:rsidRDefault="007A5274" w:rsidP="007A5274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56CE3688" w14:textId="04C228AC" w:rsidR="007A5274" w:rsidRPr="00373070" w:rsidRDefault="007A5274" w:rsidP="007A5274">
      <w:pPr>
        <w:spacing w:after="0" w:line="240" w:lineRule="auto"/>
        <w:rPr>
          <w:rFonts w:ascii="Sylfaen" w:eastAsia="Times New Roman" w:hAnsi="Sylfaen" w:cs="Calibri"/>
          <w:color w:val="000000"/>
          <w:sz w:val="16"/>
          <w:szCs w:val="16"/>
        </w:rPr>
      </w:pPr>
      <w:proofErr w:type="spellStart"/>
      <w:proofErr w:type="gramStart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>გამოთვლისას</w:t>
      </w:r>
      <w:proofErr w:type="spellEnd"/>
      <w:proofErr w:type="gramEnd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 xml:space="preserve"> </w:t>
      </w:r>
      <w:proofErr w:type="spellStart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>გამოყენებულია</w:t>
      </w:r>
      <w:proofErr w:type="spellEnd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 xml:space="preserve"> 2022 </w:t>
      </w:r>
      <w:proofErr w:type="spellStart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>წლის</w:t>
      </w:r>
      <w:proofErr w:type="spellEnd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 xml:space="preserve"> 9 </w:t>
      </w:r>
      <w:proofErr w:type="spellStart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>სექტემბრის</w:t>
      </w:r>
      <w:proofErr w:type="spellEnd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 xml:space="preserve"> </w:t>
      </w:r>
      <w:proofErr w:type="spellStart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>გაცვლითი</w:t>
      </w:r>
      <w:proofErr w:type="spellEnd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 xml:space="preserve"> </w:t>
      </w:r>
      <w:proofErr w:type="spellStart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>კურსი</w:t>
      </w:r>
      <w:proofErr w:type="spellEnd"/>
      <w:r w:rsidRPr="00373070">
        <w:rPr>
          <w:rFonts w:ascii="Sylfaen" w:eastAsia="Times New Roman" w:hAnsi="Sylfaen" w:cs="Calibri"/>
          <w:color w:val="000000"/>
          <w:sz w:val="16"/>
          <w:szCs w:val="16"/>
        </w:rPr>
        <w:t xml:space="preserve">  1 EUR = 2.8572  GEL; 1 SDR = 3.7028 GEL; 10 CNY = 4.1027 GEL; 100 JPY = 1.9863  GEL; 1 KWD = 9.2462  GEL; 1 USD = 2.8543 GEL.</w:t>
      </w:r>
    </w:p>
    <w:p w14:paraId="7D603B5E" w14:textId="77777777" w:rsidR="0053506B" w:rsidRPr="007A5274" w:rsidRDefault="0053506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sectPr w:rsidR="0053506B" w:rsidRPr="007A5274" w:rsidSect="002E358C">
      <w:footerReference w:type="default" r:id="rId11"/>
      <w:footerReference w:type="first" r:id="rId12"/>
      <w:pgSz w:w="11907" w:h="16839" w:code="9"/>
      <w:pgMar w:top="426" w:right="1134" w:bottom="1134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FD088" w14:textId="77777777" w:rsidR="005A1D0F" w:rsidRDefault="005A1D0F" w:rsidP="00400BED">
      <w:pPr>
        <w:spacing w:after="0" w:line="240" w:lineRule="auto"/>
      </w:pPr>
      <w:r>
        <w:separator/>
      </w:r>
    </w:p>
  </w:endnote>
  <w:endnote w:type="continuationSeparator" w:id="0">
    <w:p w14:paraId="07F305A5" w14:textId="77777777" w:rsidR="005A1D0F" w:rsidRDefault="005A1D0F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D4A2F" w14:textId="2B23E026" w:rsidR="009D198C" w:rsidRDefault="009D19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1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A3B7B3" w14:textId="77777777" w:rsidR="009D198C" w:rsidRDefault="009D1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684CC" w14:textId="4B22116D" w:rsidR="009D198C" w:rsidRDefault="009D19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215503" w14:textId="77777777" w:rsidR="009D198C" w:rsidRDefault="009D198C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C0FE" w14:textId="77777777" w:rsidR="005A1D0F" w:rsidRDefault="005A1D0F" w:rsidP="00400BED">
      <w:pPr>
        <w:spacing w:after="0" w:line="240" w:lineRule="auto"/>
      </w:pPr>
      <w:r>
        <w:separator/>
      </w:r>
    </w:p>
  </w:footnote>
  <w:footnote w:type="continuationSeparator" w:id="0">
    <w:p w14:paraId="25695523" w14:textId="77777777" w:rsidR="005A1D0F" w:rsidRDefault="005A1D0F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61F6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50EF1"/>
    <w:rsid w:val="0005462B"/>
    <w:rsid w:val="00054AB0"/>
    <w:rsid w:val="00057593"/>
    <w:rsid w:val="00063126"/>
    <w:rsid w:val="00063D27"/>
    <w:rsid w:val="000641FD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6C06"/>
    <w:rsid w:val="000E7432"/>
    <w:rsid w:val="000E7E49"/>
    <w:rsid w:val="000F00E4"/>
    <w:rsid w:val="000F13F4"/>
    <w:rsid w:val="000F487B"/>
    <w:rsid w:val="000F55BB"/>
    <w:rsid w:val="000F5720"/>
    <w:rsid w:val="000F7FD3"/>
    <w:rsid w:val="00102D0F"/>
    <w:rsid w:val="00103D04"/>
    <w:rsid w:val="001055DA"/>
    <w:rsid w:val="00107030"/>
    <w:rsid w:val="00110A1B"/>
    <w:rsid w:val="00111D9D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1C5B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448F"/>
    <w:rsid w:val="001757D3"/>
    <w:rsid w:val="001763B0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2DDB"/>
    <w:rsid w:val="001A3600"/>
    <w:rsid w:val="001A397F"/>
    <w:rsid w:val="001A410C"/>
    <w:rsid w:val="001A4349"/>
    <w:rsid w:val="001B17E2"/>
    <w:rsid w:val="001B2633"/>
    <w:rsid w:val="001B4547"/>
    <w:rsid w:val="001B508D"/>
    <w:rsid w:val="001B5DAC"/>
    <w:rsid w:val="001C5235"/>
    <w:rsid w:val="001C5F44"/>
    <w:rsid w:val="001C7199"/>
    <w:rsid w:val="001D0A60"/>
    <w:rsid w:val="001D17B2"/>
    <w:rsid w:val="001D3A42"/>
    <w:rsid w:val="001D5195"/>
    <w:rsid w:val="001D5ADC"/>
    <w:rsid w:val="001D65B8"/>
    <w:rsid w:val="001D6905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15C8"/>
    <w:rsid w:val="002D16E4"/>
    <w:rsid w:val="002D22B9"/>
    <w:rsid w:val="002D596E"/>
    <w:rsid w:val="002D6813"/>
    <w:rsid w:val="002E293E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53B3"/>
    <w:rsid w:val="0035676A"/>
    <w:rsid w:val="00361883"/>
    <w:rsid w:val="00364196"/>
    <w:rsid w:val="0036419C"/>
    <w:rsid w:val="00365A49"/>
    <w:rsid w:val="00372A1B"/>
    <w:rsid w:val="00373070"/>
    <w:rsid w:val="00375F6E"/>
    <w:rsid w:val="00377B9F"/>
    <w:rsid w:val="003800EA"/>
    <w:rsid w:val="00382167"/>
    <w:rsid w:val="003838EC"/>
    <w:rsid w:val="00387352"/>
    <w:rsid w:val="0039166F"/>
    <w:rsid w:val="00395CE1"/>
    <w:rsid w:val="00396279"/>
    <w:rsid w:val="003967C1"/>
    <w:rsid w:val="00396821"/>
    <w:rsid w:val="003974FA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5CEB"/>
    <w:rsid w:val="003F6F77"/>
    <w:rsid w:val="003F711D"/>
    <w:rsid w:val="003F75A7"/>
    <w:rsid w:val="00400720"/>
    <w:rsid w:val="00400BED"/>
    <w:rsid w:val="004033E5"/>
    <w:rsid w:val="0040412C"/>
    <w:rsid w:val="00405A47"/>
    <w:rsid w:val="0040622C"/>
    <w:rsid w:val="0040699D"/>
    <w:rsid w:val="00406FEE"/>
    <w:rsid w:val="00410C40"/>
    <w:rsid w:val="0041135C"/>
    <w:rsid w:val="004117C8"/>
    <w:rsid w:val="004150CD"/>
    <w:rsid w:val="00416472"/>
    <w:rsid w:val="00421440"/>
    <w:rsid w:val="00421638"/>
    <w:rsid w:val="004233FE"/>
    <w:rsid w:val="00424397"/>
    <w:rsid w:val="00425B8C"/>
    <w:rsid w:val="00425E7D"/>
    <w:rsid w:val="00426244"/>
    <w:rsid w:val="00427DC2"/>
    <w:rsid w:val="004324BD"/>
    <w:rsid w:val="00434625"/>
    <w:rsid w:val="00435096"/>
    <w:rsid w:val="00437E68"/>
    <w:rsid w:val="0044055F"/>
    <w:rsid w:val="00441218"/>
    <w:rsid w:val="0044178B"/>
    <w:rsid w:val="004439FD"/>
    <w:rsid w:val="00445CA6"/>
    <w:rsid w:val="004464CC"/>
    <w:rsid w:val="004572FA"/>
    <w:rsid w:val="004576F3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6409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26AE"/>
    <w:rsid w:val="004C59A6"/>
    <w:rsid w:val="004D17A6"/>
    <w:rsid w:val="004D26F9"/>
    <w:rsid w:val="004D7B47"/>
    <w:rsid w:val="004E2497"/>
    <w:rsid w:val="004E3AB1"/>
    <w:rsid w:val="004E422E"/>
    <w:rsid w:val="004E767B"/>
    <w:rsid w:val="004F2321"/>
    <w:rsid w:val="004F2417"/>
    <w:rsid w:val="004F5AB2"/>
    <w:rsid w:val="0050185A"/>
    <w:rsid w:val="00501E22"/>
    <w:rsid w:val="00510802"/>
    <w:rsid w:val="00512E01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1D0F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4E65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271E5"/>
    <w:rsid w:val="00631A9A"/>
    <w:rsid w:val="0063481F"/>
    <w:rsid w:val="006455A1"/>
    <w:rsid w:val="0064753E"/>
    <w:rsid w:val="006500C4"/>
    <w:rsid w:val="00651040"/>
    <w:rsid w:val="0065336E"/>
    <w:rsid w:val="006546E7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6FE"/>
    <w:rsid w:val="0068034E"/>
    <w:rsid w:val="0068056A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807"/>
    <w:rsid w:val="0069693A"/>
    <w:rsid w:val="00696AF7"/>
    <w:rsid w:val="006A0881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50CE"/>
    <w:rsid w:val="0073687D"/>
    <w:rsid w:val="00737314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744B0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274"/>
    <w:rsid w:val="007A5E4F"/>
    <w:rsid w:val="007B03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CC8"/>
    <w:rsid w:val="007D0242"/>
    <w:rsid w:val="007D1B10"/>
    <w:rsid w:val="007D2DE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56E6"/>
    <w:rsid w:val="0087661E"/>
    <w:rsid w:val="00880F7C"/>
    <w:rsid w:val="008811B5"/>
    <w:rsid w:val="00881898"/>
    <w:rsid w:val="0088487C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790"/>
    <w:rsid w:val="009139F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515B0"/>
    <w:rsid w:val="009531BC"/>
    <w:rsid w:val="00953341"/>
    <w:rsid w:val="00955981"/>
    <w:rsid w:val="0096271C"/>
    <w:rsid w:val="00963628"/>
    <w:rsid w:val="0096590B"/>
    <w:rsid w:val="009660A9"/>
    <w:rsid w:val="0096735A"/>
    <w:rsid w:val="009734FB"/>
    <w:rsid w:val="00975967"/>
    <w:rsid w:val="00977CA1"/>
    <w:rsid w:val="0098115B"/>
    <w:rsid w:val="009816B7"/>
    <w:rsid w:val="00982850"/>
    <w:rsid w:val="00982E29"/>
    <w:rsid w:val="00986AAF"/>
    <w:rsid w:val="00990DDB"/>
    <w:rsid w:val="009917B8"/>
    <w:rsid w:val="00991B14"/>
    <w:rsid w:val="009925D7"/>
    <w:rsid w:val="00994CC0"/>
    <w:rsid w:val="00995A24"/>
    <w:rsid w:val="00997661"/>
    <w:rsid w:val="009A1016"/>
    <w:rsid w:val="009A2872"/>
    <w:rsid w:val="009A5FAB"/>
    <w:rsid w:val="009A7187"/>
    <w:rsid w:val="009A78B3"/>
    <w:rsid w:val="009A7CFF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98C"/>
    <w:rsid w:val="009D1D40"/>
    <w:rsid w:val="009D253F"/>
    <w:rsid w:val="009D383C"/>
    <w:rsid w:val="009D5407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49DA"/>
    <w:rsid w:val="009E5F2B"/>
    <w:rsid w:val="009F177E"/>
    <w:rsid w:val="009F1D79"/>
    <w:rsid w:val="009F31FB"/>
    <w:rsid w:val="009F6AC0"/>
    <w:rsid w:val="009F7E90"/>
    <w:rsid w:val="00A00FD9"/>
    <w:rsid w:val="00A04E5E"/>
    <w:rsid w:val="00A07391"/>
    <w:rsid w:val="00A1081B"/>
    <w:rsid w:val="00A10F90"/>
    <w:rsid w:val="00A12C85"/>
    <w:rsid w:val="00A13C99"/>
    <w:rsid w:val="00A145F4"/>
    <w:rsid w:val="00A15D1D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473CD"/>
    <w:rsid w:val="00A50002"/>
    <w:rsid w:val="00A5293F"/>
    <w:rsid w:val="00A552F9"/>
    <w:rsid w:val="00A56E3B"/>
    <w:rsid w:val="00A57273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7F14"/>
    <w:rsid w:val="00A90B92"/>
    <w:rsid w:val="00A90C44"/>
    <w:rsid w:val="00A91548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AF0"/>
    <w:rsid w:val="00AD2D43"/>
    <w:rsid w:val="00AD328B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3C3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6595"/>
    <w:rsid w:val="00B87708"/>
    <w:rsid w:val="00B90038"/>
    <w:rsid w:val="00B93A56"/>
    <w:rsid w:val="00B94CDE"/>
    <w:rsid w:val="00B95192"/>
    <w:rsid w:val="00B95528"/>
    <w:rsid w:val="00BA297C"/>
    <w:rsid w:val="00BA6094"/>
    <w:rsid w:val="00BB0398"/>
    <w:rsid w:val="00BB2C5D"/>
    <w:rsid w:val="00BB4019"/>
    <w:rsid w:val="00BB632F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3C77"/>
    <w:rsid w:val="00C0434C"/>
    <w:rsid w:val="00C0485E"/>
    <w:rsid w:val="00C04FBA"/>
    <w:rsid w:val="00C0792E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44C6"/>
    <w:rsid w:val="00C6464F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0CBA"/>
    <w:rsid w:val="00C91918"/>
    <w:rsid w:val="00C92D73"/>
    <w:rsid w:val="00C9602D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6196"/>
    <w:rsid w:val="00CD7C57"/>
    <w:rsid w:val="00CE04BE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57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A5694"/>
    <w:rsid w:val="00DA5FC2"/>
    <w:rsid w:val="00DB0417"/>
    <w:rsid w:val="00DB15D9"/>
    <w:rsid w:val="00DB1C54"/>
    <w:rsid w:val="00DB276F"/>
    <w:rsid w:val="00DB2B66"/>
    <w:rsid w:val="00DB30DF"/>
    <w:rsid w:val="00DB657D"/>
    <w:rsid w:val="00DC1189"/>
    <w:rsid w:val="00DC24F5"/>
    <w:rsid w:val="00DC3604"/>
    <w:rsid w:val="00DC574F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02A"/>
    <w:rsid w:val="00DF5D2F"/>
    <w:rsid w:val="00E014B2"/>
    <w:rsid w:val="00E01ADA"/>
    <w:rsid w:val="00E01BC8"/>
    <w:rsid w:val="00E02C4C"/>
    <w:rsid w:val="00E02D44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5AD"/>
    <w:rsid w:val="00E676E5"/>
    <w:rsid w:val="00E705BE"/>
    <w:rsid w:val="00E7332D"/>
    <w:rsid w:val="00E736E9"/>
    <w:rsid w:val="00E77771"/>
    <w:rsid w:val="00E8165B"/>
    <w:rsid w:val="00E81BCB"/>
    <w:rsid w:val="00E829E7"/>
    <w:rsid w:val="00E844CA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0D9D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EF57DF"/>
    <w:rsid w:val="00F003A7"/>
    <w:rsid w:val="00F01A27"/>
    <w:rsid w:val="00F07891"/>
    <w:rsid w:val="00F106FA"/>
    <w:rsid w:val="00F114A8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4615E"/>
    <w:rsid w:val="00F46408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200D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35A"/>
    <w:rsid w:val="00FA7488"/>
    <w:rsid w:val="00FA74FF"/>
    <w:rsid w:val="00FB01F8"/>
    <w:rsid w:val="00FB07AB"/>
    <w:rsid w:val="00FB1A84"/>
    <w:rsid w:val="00FB3891"/>
    <w:rsid w:val="00FB5423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26A75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3548141632159754"/>
          <c:h val="0.8503996844953966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22%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57%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749522914487341"/>
                  <c:y val="-2.9967543175168448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133526412646687"/>
                      <c:h val="0.2109911589998618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0.13604976177296207"/>
                  <c:y val="7.6647980346693928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52378797476"/>
                      <c:h val="0.168935626467744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78%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layout>
                <c:manualLayout>
                  <c:x val="-1.7512859053739123E-2"/>
                  <c:y val="-1.3922111087465418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986C9F7-BA4C-497C-ADB2-DBB4DE01EFC9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919439579684761"/>
                      <c:h val="0.2162162162162162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3472-6061-450A-A4C0-A3B6DDD2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5</cp:revision>
  <cp:lastPrinted>2019-04-25T08:10:00Z</cp:lastPrinted>
  <dcterms:created xsi:type="dcterms:W3CDTF">2022-09-11T15:42:00Z</dcterms:created>
  <dcterms:modified xsi:type="dcterms:W3CDTF">2022-09-12T17:16:00Z</dcterms:modified>
</cp:coreProperties>
</file>